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方正黑体_GBK" w:eastAsia="方正黑体_GBK"/>
          <w:color w:val="000000"/>
          <w:szCs w:val="32"/>
        </w:rPr>
      </w:pPr>
      <w:r>
        <w:rPr>
          <w:rFonts w:hint="eastAsia" w:ascii="方正黑体_GBK" w:eastAsia="方正黑体_GBK"/>
          <w:color w:val="000000"/>
          <w:szCs w:val="32"/>
        </w:rPr>
        <w:t>附件7</w:t>
      </w:r>
    </w:p>
    <w:p>
      <w:r>
        <w:rPr>
          <w:rFonts w:hint="eastAsia" w:ascii="方正小标宋_GBK" w:eastAsia="方正小标宋_GBK"/>
          <w:color w:val="000000"/>
          <w:sz w:val="44"/>
          <w:szCs w:val="44"/>
        </w:rPr>
        <w:t>园区申报信息汇总表</w:t>
      </w:r>
      <w:r>
        <w:drawing>
          <wp:inline distT="0" distB="0" distL="114300" distR="114300">
            <wp:extent cx="8674100" cy="4110990"/>
            <wp:effectExtent l="0" t="0" r="12700" b="381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674100" cy="41109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6E1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方正仿宋简体" w:cs="Times New Roman"/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方正仿宋简体" w:cs="Times New Roman"/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emf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2021-03-15T09:45:39Z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