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江苏省检察官学院2026年公开招聘高层次人才岗位表</w:t>
      </w:r>
    </w:p>
    <w:tbl>
      <w:tblPr>
        <w:tblStyle w:val="5"/>
        <w:tblW w:w="15310" w:type="dxa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708"/>
        <w:gridCol w:w="851"/>
        <w:gridCol w:w="709"/>
        <w:gridCol w:w="1134"/>
        <w:gridCol w:w="708"/>
        <w:gridCol w:w="851"/>
        <w:gridCol w:w="850"/>
        <w:gridCol w:w="851"/>
        <w:gridCol w:w="1134"/>
        <w:gridCol w:w="709"/>
        <w:gridCol w:w="1842"/>
        <w:gridCol w:w="1393"/>
        <w:gridCol w:w="7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招聘单位</w:t>
            </w:r>
          </w:p>
        </w:tc>
        <w:tc>
          <w:tcPr>
            <w:tcW w:w="269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招聘岗位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开考比例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考察体检比例</w:t>
            </w:r>
          </w:p>
        </w:tc>
        <w:tc>
          <w:tcPr>
            <w:tcW w:w="4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招聘条件</w:t>
            </w: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招聘部门（单</w:t>
            </w: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位）考试形式和所占比例</w:t>
            </w:r>
          </w:p>
        </w:tc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说明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咨询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监督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名 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经费来源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岗位类别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描述</w:t>
            </w: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其他条件</w:t>
            </w: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江苏省人民检察院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江苏省检察官学院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差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额拨款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教学</w:t>
            </w:r>
          </w:p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研究岗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专业技术岗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从事刑事检察教学研究工作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1:1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刑法学、诉讼法、诉讼法学、法学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1.获得博士研究生相应学位。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取得国家法律职业资格证书（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A类）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spacing w:line="280" w:lineRule="exac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3.具备岗位所需专业素养、较强科研能力和扎实学术功底，5年内（2021年7月以后）在CSSCI来源期刊（含扩展版、集刊）发表2篇学术论文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，其中至少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1篇为刑法学或刑事诉讼法学方向学术论文。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bidi="ar"/>
              </w:rPr>
              <w:t>试讲，40%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Style w:val="9"/>
                <w:rFonts w:hint="default" w:ascii="Times New Roman" w:hAnsi="Times New Roman" w:cs="Times New Roman"/>
                <w:lang w:bidi="ar"/>
              </w:rPr>
              <w:t>面试，60%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进编。</w:t>
            </w:r>
          </w:p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工作地点：江苏省句容市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咨询电话0511-</w:t>
            </w:r>
          </w:p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80780082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监督电话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025-83798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639</w:t>
            </w:r>
          </w:p>
          <w:p>
            <w:pPr>
              <w:pStyle w:val="2"/>
              <w:ind w:firstLine="560"/>
              <w:rPr>
                <w:rFonts w:ascii="Times New Roman" w:hAnsi="Times New Roman"/>
              </w:rPr>
            </w:pPr>
          </w:p>
        </w:tc>
      </w:tr>
    </w:tbl>
    <w:p/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3C"/>
    <w:rsid w:val="00350D3C"/>
    <w:rsid w:val="004F6A90"/>
    <w:rsid w:val="00763DDD"/>
    <w:rsid w:val="008D3AD8"/>
    <w:rsid w:val="00F369A6"/>
    <w:rsid w:val="747FC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snapToGrid w:val="0"/>
      <w:spacing w:after="120" w:line="300" w:lineRule="auto"/>
      <w:ind w:firstLine="200" w:firstLineChars="200"/>
    </w:pPr>
    <w:rPr>
      <w:rFonts w:ascii="Calibri" w:hAnsi="Calibri" w:eastAsia="楷体_GB2312" w:cs="Times New Roman"/>
      <w:sz w:val="2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371</Characters>
  <Lines>3</Lines>
  <Paragraphs>1</Paragraphs>
  <TotalTime>0</TotalTime>
  <ScaleCrop>false</ScaleCrop>
  <LinksUpToDate>false</LinksUpToDate>
  <CharactersWithSpaces>434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2026-07-06T08:31:00Z</dcterms:created>
  <dc:creator>YUFEI</dc:creator>
  <cp:lastModifiedBy>kylin</cp:lastModifiedBy>
  <dcterms:modified xsi:type="dcterms:W3CDTF">2026-07-06T08:54:17Z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