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Times New Roman" w:eastAsia="方正黑体_GBK" w:cs="Times New Roman"/>
          <w:szCs w:val="32"/>
        </w:rPr>
      </w:pPr>
      <w:r>
        <w:rPr>
          <w:rFonts w:hint="eastAsia" w:ascii="方正黑体_GBK" w:hAnsi="Times New Roman" w:eastAsia="方正黑体_GBK" w:cs="Times New Roman"/>
          <w:szCs w:val="32"/>
        </w:rPr>
        <w:t>附件1</w:t>
      </w:r>
    </w:p>
    <w:p>
      <w:pPr>
        <w:spacing w:line="660" w:lineRule="exact"/>
        <w:jc w:val="center"/>
        <w:rPr>
          <w:rFonts w:ascii="方正仿宋_GBK" w:hAnsi="方正小标宋_GBK" w:eastAsia="方正仿宋_GBK" w:cs="Times New Roman"/>
          <w:szCs w:val="32"/>
        </w:rPr>
      </w:pPr>
    </w:p>
    <w:p>
      <w:pPr>
        <w:spacing w:line="560" w:lineRule="exact"/>
        <w:ind w:firstLine="629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202</w:t>
      </w:r>
      <w:r>
        <w:rPr>
          <w:rFonts w:ascii="方正小标宋_GBK" w:hAnsi="Times New Roman" w:eastAsia="方正小标宋_GBK" w:cs="Times New Roman"/>
          <w:sz w:val="44"/>
          <w:szCs w:val="44"/>
        </w:rPr>
        <w:t>1</w:t>
      </w:r>
      <w:r>
        <w:rPr>
          <w:rFonts w:hint="eastAsia" w:ascii="方正小标宋_GBK" w:hAnsi="Times New Roman" w:eastAsia="方正小标宋_GBK" w:cs="Times New Roman"/>
          <w:sz w:val="44"/>
          <w:szCs w:val="44"/>
        </w:rPr>
        <w:t>年江苏省高技能人才专项公共</w:t>
      </w:r>
    </w:p>
    <w:p>
      <w:pPr>
        <w:spacing w:line="560" w:lineRule="exact"/>
        <w:ind w:firstLine="629"/>
        <w:jc w:val="center"/>
        <w:rPr>
          <w:rFonts w:ascii="方正小标宋_GBK" w:hAnsi="方正小标宋_GBK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实训基地</w:t>
      </w:r>
      <w:r>
        <w:rPr>
          <w:rFonts w:hint="eastAsia" w:ascii="方正小标宋_GBK" w:hAnsi="方正小标宋_GBK" w:eastAsia="方正小标宋_GBK" w:cs="Times New Roman"/>
          <w:sz w:val="44"/>
          <w:szCs w:val="44"/>
        </w:rPr>
        <w:t>名单</w:t>
      </w:r>
    </w:p>
    <w:p>
      <w:pPr>
        <w:spacing w:line="560" w:lineRule="exact"/>
        <w:ind w:firstLine="629"/>
        <w:jc w:val="center"/>
        <w:rPr>
          <w:rFonts w:ascii="方正小标宋_GBK" w:hAnsi="方正小标宋_GBK" w:eastAsia="方正小标宋_GBK" w:cs="Times New Roman"/>
          <w:sz w:val="44"/>
          <w:szCs w:val="44"/>
        </w:rPr>
      </w:pPr>
    </w:p>
    <w:tbl>
      <w:tblPr>
        <w:tblStyle w:val="3"/>
        <w:tblW w:w="917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8"/>
        <w:gridCol w:w="4522"/>
        <w:gridCol w:w="279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FF0000"/>
                <w:kern w:val="0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Cs w:val="32"/>
              </w:rPr>
              <w:t>城  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ind w:firstLine="891" w:firstLineChars="300"/>
              <w:rPr>
                <w:rFonts w:ascii="方正仿宋_GBK" w:hAnsi="宋体" w:eastAsia="方正仿宋_GBK" w:cs="宋体"/>
                <w:color w:val="FF0000"/>
                <w:kern w:val="0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Cs w:val="32"/>
              </w:rPr>
              <w:t>单    位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hAnsi="宋体" w:eastAsia="方正仿宋_GBK" w:cs="宋体"/>
                <w:color w:val="FF0000"/>
                <w:kern w:val="0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Cs w:val="32"/>
              </w:rPr>
              <w:t>建设方向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南京市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南京技师学院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环保设施运营与管理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南京市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南京交通技师学院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数字化设计与智能制造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南京市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中博信息技术研究院有限公司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5G通信产业技术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无锡市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无锡技师学院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健康服务与管理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常州市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江苏省常州技师学院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云计算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苏州市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恒力集团有限公司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化纤纺织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南通市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南通工贸技师学院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Cs w:val="32"/>
              </w:rPr>
              <w:t>装配式智能建造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淮安市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江苏省淮安技师学院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液压与气动技术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盐城市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江苏省盐城技师学院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精密检测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8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宿迁市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淮海技师学院</w:t>
            </w:r>
          </w:p>
        </w:tc>
        <w:tc>
          <w:tcPr>
            <w:tcW w:w="2799" w:type="dxa"/>
            <w:shd w:val="clear" w:color="auto" w:fill="auto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Cs w:val="32"/>
              </w:rPr>
            </w:pPr>
            <w:r>
              <w:rPr>
                <w:rFonts w:hint="eastAsia" w:ascii="方正仿宋_GBK" w:eastAsia="方正仿宋_GBK"/>
              </w:rPr>
              <w:t>无人机应用技术</w:t>
            </w:r>
          </w:p>
        </w:tc>
      </w:tr>
    </w:tbl>
    <w:p>
      <w:pPr>
        <w:widowControl/>
        <w:jc w:val="lef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374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2021-03-08T03:09:55Z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