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tbl>
      <w:tblID w:val="0"/>
      <w:tblPr>
        <w:tblStyle w:val="PO37"/>
        <w:tblW w:w="14304" w:type="dxa"/>
        <w:tblLook w:val="000000" w:firstRow="0" w:lastRow="0" w:firstColumn="0" w:lastColumn="0" w:noHBand="0" w:noVBand="0"/>
      </w:tblPr>
      <w:tblGrid>
        <w:gridCol w:w="1332"/>
        <w:gridCol w:w="840"/>
        <w:gridCol w:w="930"/>
        <w:gridCol w:w="870"/>
        <w:gridCol w:w="915"/>
        <w:gridCol w:w="2030"/>
        <w:gridCol w:w="2430"/>
        <w:gridCol w:w="4957"/>
      </w:tblGrid>
      <w:tr>
        <w:trPr>
          <w:trHeight w:hRule="atleast" w:val="300"/>
          <w:hidden w:val="0"/>
        </w:trPr>
        <w:tc>
          <w:tcPr>
            <w:tcW w:type="dxa" w:w="14304"/>
            <w:tcMar>
              <w:left w:w="15" w:type="dxa"/>
              <w:right w:w="15" w:type="dxa"/>
            </w:tcMar>
            <w:vAlign w:val="center"/>
            <w:gridSpan w:val="8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/>
          </w:tcPr>
          <w:p>
            <w:pPr>
              <w:numPr>
                <w:ilvl w:val="0"/>
                <w:numId w:val="0"/>
              </w:numPr>
              <w:jc w:val="both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2"/>
                <w:szCs w:val="22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8"/>
                <w:szCs w:val="28"/>
                <w:rFonts w:ascii="微软雅黑" w:eastAsia="微软雅黑" w:hAnsi="微软雅黑" w:hint="default"/>
              </w:rPr>
              <w:t xml:space="preserve">附件1: </w:t>
            </w:r>
          </w:p>
        </w:tc>
      </w:tr>
      <w:tr>
        <w:trPr>
          <w:trHeight w:hRule="atleast" w:val="645"/>
          <w:hidden w:val="0"/>
        </w:trPr>
        <w:tc>
          <w:tcPr>
            <w:tcW w:type="dxa" w:w="14304"/>
            <w:tcMar>
              <w:left w:w="15" w:type="dxa"/>
              <w:right w:w="15" w:type="dxa"/>
            </w:tcMar>
            <w:vAlign w:val="center"/>
            <w:gridSpan w:val="8"/>
            <w:tcBorders>
              <w:bottom w:val="nil" w:color="auto"/>
              <w:left w:val="nil" w:color="auto"/>
              <w:right w:val="nil" w:color="auto"/>
              <w:top w:val="nil" w:color="auto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44"/>
                <w:szCs w:val="4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auto"/>
                <w:position w:val="0"/>
                <w:sz w:val="32"/>
                <w:szCs w:val="32"/>
                <w:rFonts w:ascii="微软雅黑" w:eastAsia="微软雅黑" w:hAnsi="微软雅黑" w:hint="default"/>
              </w:rPr>
              <w:t>2020年江苏弘景规划建设有限公司公开招聘岗位信息表</w:t>
            </w:r>
          </w:p>
        </w:tc>
      </w:tr>
      <w:tr>
        <w:trPr>
          <w:trHeight w:hRule="atleast" w:val="90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招 聘</w:t>
            </w:r>
            <w:r>
              <w:rPr>
                <w:b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岗 位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招 聘</w:t>
            </w:r>
            <w:r>
              <w:rPr>
                <w:b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人 数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性 别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年 龄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学 历</w:t>
            </w:r>
            <w:r>
              <w:rPr>
                <w:b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要 求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专 业 </w:t>
            </w:r>
            <w:r>
              <w:rPr>
                <w:b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要 求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>相关专业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auto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其 他</w:t>
            </w:r>
            <w:r>
              <w:rPr>
                <w:b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要 求</w:t>
            </w:r>
          </w:p>
        </w:tc>
      </w:tr>
      <w:tr>
        <w:trPr>
          <w:trHeight w:hRule="atleast" w:val="1886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vMerge w:val="restart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信息管理（代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码：01）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1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地理科学及相关专业；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地理信息系统、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地理信息系统与地图学、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地理科学。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5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熟练掌握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CAD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ArcGIS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等相关软件；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熟悉相关规范，具备较强的沟通、协调、学习和适应能力；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4、持有《中级计算机技术与软件专业技术资格》及以上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职业资格的笔试为满分。</w:t>
            </w:r>
          </w:p>
        </w:tc>
      </w:tr>
      <w:tr>
        <w:trPr>
          <w:trHeight w:hRule="atleast" w:val="2232"/>
          <w:hidden w:val="0"/>
        </w:trPr>
        <w:tc>
          <w:tcPr>
            <w:tcW w:type="dxa" w:w="1332"/>
            <w:vAlign w:val="center"/>
            <w:vMerge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/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1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地理科学及相关专业；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地理信息系统、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地理信息系统与地图学、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地理科学。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1、熟练掌握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CAD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ArcGIS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等相关软件；具备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Oracle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SQLserver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数据库、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b/s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架构系统运维开发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年以上工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作经验；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2、熟悉相关规范，具备较强的沟通、协调、学习和适应能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4、持有《中级计算机技术与软件专业技术资格》及以上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职业资格的笔试为满分。</w:t>
            </w:r>
          </w:p>
        </w:tc>
      </w:tr>
      <w:tr>
        <w:trPr>
          <w:trHeight w:hRule="atleast" w:val="1832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森林管理（代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码：02）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2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长期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野外作业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男性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林学相关专业；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相关专业包括林学、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森林保护、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森林资源保护与游憩、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经济林、风景园林、园林、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园林工程、森林资源管理与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经济林方向。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1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、熟悉相关规范，具备较强的沟通、协调、学习和适应能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2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、有较强的团队精神、责任心，工作积极主动。</w:t>
            </w:r>
          </w:p>
        </w:tc>
      </w:tr>
      <w:tr>
        <w:trPr>
          <w:trHeight w:hRule="atleast" w:val="2513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市政规划（代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 xml:space="preserve">码：03） 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1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市政工程及相关专业；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相关专业包括给水排水工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程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熟悉相关规范，具备较强的沟通、协调、学习和适应能力；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2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3、持有《注册土木工程师》、《一级注册建造师》、《注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册公用设备工程师》及以上职业资格的笔试为满分。</w:t>
            </w:r>
          </w:p>
        </w:tc>
      </w:tr>
      <w:tr>
        <w:trPr>
          <w:trHeight w:hRule="atleast" w:val="2560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vMerge w:val="restart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城建规划（代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码：04）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4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城乡规划相关专业；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相关专业包括城市规划、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景观设计、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历史建筑保护工程、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景观建筑设计、景观学、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风景园林、城镇建设、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园林景观设计、资源环境与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城乡规划管理。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熟练掌握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CAD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等相关软件；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2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、熟悉相关规范，具备较强的沟通、协调、学习和适应能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3、持有《二级注册建筑师》、《注册规划师》、《一级注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册建造师》及以上职业资格的笔试为满分。</w:t>
            </w:r>
          </w:p>
        </w:tc>
      </w:tr>
      <w:tr>
        <w:trPr>
          <w:trHeight w:hRule="atleast" w:val="2223"/>
          <w:hidden w:val="0"/>
        </w:trPr>
        <w:tc>
          <w:tcPr>
            <w:tcW w:type="dxa" w:w="1332"/>
            <w:vAlign w:val="center"/>
            <w:vMerge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/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1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不限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建筑学及相关专业；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相关专业包括土木工程、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建筑工程、建筑设计、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工业与民用建筑。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pStyle w:val="PO26"/>
              <w:bidi w:val="0"/>
              <w:numPr>
                <w:ilvl w:val="0"/>
                <w:numId w:val="6"/>
              </w:numPr>
              <w:jc w:val="left"/>
              <w:spacing w:lineRule="exact" w:line="240" w:before="0" w:after="160"/>
              <w:ind w:right="0" w:left="360" w:hanging="360"/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熟悉相关规范，具备较强的沟通、协调、学习和适应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能力；</w:t>
            </w:r>
          </w:p>
          <w:p>
            <w:pPr>
              <w:pStyle w:val="PO26"/>
              <w:bidi w:val="0"/>
              <w:numPr>
                <w:ilvl w:val="0"/>
                <w:numId w:val="6"/>
              </w:numPr>
              <w:jc w:val="left"/>
              <w:spacing w:lineRule="exact" w:line="240" w:before="0" w:after="160"/>
              <w:ind w:right="0" w:left="360" w:hanging="36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3、持有《二级注册建筑师》、《注册规划师》、《一级注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册建造师》及以上职业资格的笔试为满分。</w:t>
            </w:r>
          </w:p>
        </w:tc>
      </w:tr>
      <w:tr>
        <w:trPr>
          <w:trHeight w:hRule="atleast" w:val="2700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勘探测绘（代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码：05）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长期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野外作业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男性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（3年以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上工作经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验或有注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册测绘师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可放宽至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全日制大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专学历）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测绘工程及相关专业；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工程测量技术、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地籍测绘与土地管理信息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技术、矿山测量、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测绘与地理信息技术、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测绘工程技术、</w:t>
            </w:r>
            <w:r>
              <w:rPr>
                <w:rStyle w:val="PO160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测绘与地质工程技术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熟悉相关规范，具备较强的沟通、协调、学习和适应能力；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2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3、持有《注册测绘师》职业资格的笔试为满分。</w:t>
            </w:r>
          </w:p>
        </w:tc>
      </w:tr>
      <w:tr>
        <w:trPr>
          <w:trHeight w:hRule="atleast" w:val="1920"/>
          <w:hidden w:val="0"/>
        </w:trPr>
        <w:tc>
          <w:tcPr>
            <w:tcW w:type="dxa" w:w="1332"/>
            <w:tcMar>
              <w:left w:w="15" w:type="dxa"/>
              <w:right w:w="15" w:type="dxa"/>
            </w:tcMar>
            <w:vAlign w:val="center"/>
            <w:vMerge w:val="restart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三维视觉（代</w:t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码：06）</w:t>
            </w:r>
          </w:p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2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长期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野外作业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男性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艺术设计、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地理信息、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城乡规划及相关专业；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视觉传达设计、环境设计、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数字媒体艺术、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地理信息专业、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资源环境与城乡规划管理。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7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有较丰富的视频制作、后期处理，三维建模工作经验。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熟练掌握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3DsMax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AfterEffects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PhotoShop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CAD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等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相关软件；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熟悉相关规范，具备较强的沟通、协调、学习和适应能力；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4、持有《中级计算机技术与软件专业技术资格》及以上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职业资格的笔试为满分。</w:t>
            </w:r>
          </w:p>
        </w:tc>
      </w:tr>
      <w:tr>
        <w:trPr>
          <w:trHeight w:hRule="atleast" w:val="3240"/>
          <w:hidden w:val="0"/>
        </w:trPr>
        <w:tc>
          <w:tcPr>
            <w:tcW w:type="dxa" w:w="1332"/>
            <w:vAlign w:val="center"/>
            <w:vMerge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/>
        </w:tc>
        <w:tc>
          <w:tcPr>
            <w:tcW w:type="dxa" w:w="84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1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9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长期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野外作业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男性</w:t>
            </w:r>
          </w:p>
        </w:tc>
        <w:tc>
          <w:tcPr>
            <w:tcW w:type="dxa" w:w="87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35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周岁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以下</w:t>
            </w:r>
          </w:p>
        </w:tc>
        <w:tc>
          <w:tcPr>
            <w:tcW w:type="dxa" w:w="915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center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本科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及以上</w:t>
            </w:r>
          </w:p>
        </w:tc>
        <w:tc>
          <w:tcPr>
            <w:tcW w:type="dxa" w:w="20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计算机科学与技术、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电子信息相关专业；</w:t>
            </w:r>
          </w:p>
        </w:tc>
        <w:tc>
          <w:tcPr>
            <w:tcW w:type="dxa" w:w="2430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相关专业包括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电子信息科学与技术、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电子与信息技术、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信息安全、信息科学技术、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应用电子技术、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电子信息工程、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计算机科学与技术、</w:t>
            </w:r>
            <w:r>
              <w:rPr>
                <w:b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电子科学与技术等。</w:t>
            </w:r>
          </w:p>
        </w:tc>
        <w:tc>
          <w:tcPr>
            <w:tcW w:type="dxa" w:w="4957"/>
            <w:tcMar>
              <w:left w:w="15" w:type="dxa"/>
              <w:right w:w="15" w:type="dxa"/>
            </w:tcMar>
            <w:vAlign w:val="center"/>
            <w:tcBorders>
              <w:bottom w:val="single" w:color="000000" w:sz="4"/>
              <w:left w:val="single" w:color="000000" w:sz="4"/>
              <w:right w:val="single" w:color="000000" w:sz="4"/>
              <w:top w:val="single" w:color="000000" w:sz="4"/>
            </w:tcBorders>
            <w:shd w:val="clear"/>
          </w:tcPr>
          <w:p>
            <w:pPr>
              <w:pStyle w:val="PO26"/>
              <w:bidi w:val="0"/>
              <w:numPr>
                <w:ilvl w:val="0"/>
                <w:numId w:val="8"/>
              </w:numPr>
              <w:jc w:val="left"/>
              <w:spacing w:lineRule="exact" w:line="240" w:before="0" w:after="160"/>
              <w:ind w:right="0" w:left="360" w:hanging="36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具有相关专业助理工程师及以上职称；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wordWrap w:val="off"/>
            </w:pP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2、有较丰富的视频制作、后期处理，三维建模工作经验。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熟练掌握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PhotoShop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、</w:t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CAD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等相关软件；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3、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熟悉相关规范，具备较强的沟通、协调、学习和适应能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力；</w:t>
            </w:r>
            <w:r>
              <w:rPr>
                <w:rStyle w:val="PO161"/>
                <w:b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br w:type="textWrapping" w:clear="all"/>
            </w:r>
            <w:r>
              <w:rPr>
                <w:rStyle w:val="PO161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4、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有较强的团队精神、责任心，工作积极主动；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240" w:before="0" w:after="160"/>
              <w:ind w:right="0" w:firstLine="0"/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wordWrap w:val="off"/>
            </w:pPr>
            <w:r>
              <w:rPr>
                <w:b w:val="0"/>
                <w:shadow w:val="0"/>
                <w:color w:val="000000"/>
                <w:position w:val="0"/>
                <w:sz w:val="20"/>
                <w:szCs w:val="20"/>
                <w:rFonts w:ascii="微软雅黑" w:eastAsia="微软雅黑" w:hAnsi="微软雅黑" w:hint="default"/>
              </w:rPr>
              <w:t>5、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持有《中级计算机技术与软件专业技术资格》及以上</w:t>
            </w:r>
            <w:r>
              <w:rPr>
                <w:rStyle w:val="PO160"/>
                <w:b w:val="0"/>
                <w:shadow w:val="0"/>
                <w:color w:val="000000"/>
                <w:position w:val="0"/>
                <w:sz w:val="20"/>
                <w:szCs w:val="20"/>
                <w:u w:val="none"/>
                <w:rFonts w:ascii="微软雅黑" w:eastAsia="微软雅黑" w:hAnsi="微软雅黑" w:hint="default"/>
              </w:rPr>
              <w:t>职业资格的笔试为满分。</w:t>
            </w:r>
          </w:p>
        </w:tc>
      </w:tr>
    </w:tbl>
    <w:p>
      <w:pPr>
        <w:numPr>
          <w:ilvl w:val="0"/>
          <w:numId w:val="0"/>
        </w:numPr>
        <w:jc w:val="left"/>
        <w:spacing w:lineRule="auto" w:line="311" w:before="0" w:after="0"/>
        <w:ind w:left="0" w:hanging="0"/>
        <w:rPr>
          <w:color w:val="auto"/>
          <w:position w:val="0"/>
          <w:sz w:val="20"/>
          <w:szCs w:val="20"/>
          <w:rFonts w:ascii="宋体" w:eastAsia="宋体" w:hAnsi="宋体" w:hint="default"/>
        </w:rPr>
        <w:wordWrap w:val="off"/>
      </w:pPr>
    </w:p>
    <w:sectPr>
      <w:footnotePr>
        <w:numFmt w:val="decimal"/>
        <w:numRestart w:val="continuous"/>
        <w:numStart w:val="1"/>
        <w:pos w:val="pageBottom"/>
      </w:footnotePr>
      <w:endnotePr>
        <w:numFmt w:val="lowerRoman"/>
        <w:numRestart w:val="continuous"/>
        <w:numStart w:val="1"/>
        <w:pos w:val="docEnd"/>
      </w:endnotePr>
      <w:pgSz w:w="16838" w:h="11906" w:orient="landscape"/>
      <w:pgMar w:top="1440" w:left="1440" w:bottom="1440" w:right="1701" w:header="708" w:footer="708" w:gutter="0"/>
      <w:pgNumType w:fmt="decimal"/>
      <w:docGrid w:type="default" w:linePitch="360" w:charSpace="614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2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3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4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5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6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7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8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</w:abstractNum>
  <w:abstractNum w:abstractNumId="1">
    <w:multiLevelType w:val="multilevel"/>
    <w:nsid w:val="2F000001"/>
    <w:tmpl w:val="1F002411"/>
    <w:lvl w:ilvl="0">
      <w:lvlJc w:val="left"/>
      <w:numFmt w:val="decimal"/>
      <w:start w:val="1"/>
      <w:suff w:val="tab"/>
      <w:pPr>
        <w:ind w:left="360" w:hanging="360"/>
        <w:jc w:val="both"/>
      </w:pPr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rPr>
        <w:rFonts w:ascii="宋体" w:eastAsia="宋体" w:hAnsi="宋体"/>
        <w:sz w:val="20"/>
        <w:szCs w:val="20"/>
        <w:w w:val="100"/>
      </w:r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rPr>
        <w:rFonts w:ascii="宋体" w:eastAsia="宋体" w:hAnsi="宋体"/>
        <w:sz w:val="20"/>
        <w:szCs w:val="20"/>
        <w:w w:val="100"/>
      </w:r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rPr>
        <w:rFonts w:ascii="宋体" w:eastAsia="宋体" w:hAnsi="宋体"/>
        <w:sz w:val="20"/>
        <w:szCs w:val="20"/>
        <w:w w:val="100"/>
      </w:r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rPr>
        <w:rFonts w:ascii="宋体" w:eastAsia="宋体" w:hAnsi="宋体"/>
        <w:sz w:val="20"/>
        <w:szCs w:val="20"/>
        <w:w w:val="100"/>
      </w:r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rPr>
        <w:rFonts w:ascii="宋体" w:eastAsia="宋体" w:hAnsi="宋体"/>
        <w:sz w:val="20"/>
        <w:szCs w:val="20"/>
        <w:w w:val="100"/>
      </w:r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rPr>
        <w:rFonts w:ascii="宋体" w:eastAsia="宋体" w:hAnsi="宋体"/>
        <w:sz w:val="20"/>
        <w:szCs w:val="20"/>
        <w:w w:val="100"/>
      </w:r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rPr>
        <w:rFonts w:ascii="宋体" w:eastAsia="宋体" w:hAnsi="宋体"/>
        <w:sz w:val="20"/>
        <w:szCs w:val="20"/>
        <w:w w:val="100"/>
      </w:r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rPr>
        <w:rFonts w:ascii="宋体" w:eastAsia="宋体" w:hAnsi="宋体"/>
        <w:sz w:val="20"/>
        <w:szCs w:val="20"/>
        <w:w w:val="100"/>
      </w:rPr>
      <w:lvlText w:val="%9.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2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3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4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5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6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7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8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</w:abstractNum>
  <w:abstractNum w:abstractNumId="3">
    <w:multiLevelType w:val="multilevel"/>
    <w:nsid w:val="2F000003"/>
    <w:tmpl w:val="1F0033C2"/>
    <w:lvl w:ilvl="0">
      <w:lvlJc w:val="left"/>
      <w:numFmt w:val="decimal"/>
      <w:start w:val="1"/>
      <w:suff w:val="tab"/>
      <w:pPr>
        <w:ind w:left="360" w:hanging="360"/>
        <w:jc w:val="both"/>
      </w:pPr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rPr>
        <w:rFonts w:ascii="宋体" w:eastAsia="宋体" w:hAnsi="宋体"/>
        <w:sz w:val="20"/>
        <w:szCs w:val="20"/>
        <w:w w:val="100"/>
      </w:r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rPr>
        <w:rFonts w:ascii="宋体" w:eastAsia="宋体" w:hAnsi="宋体"/>
        <w:sz w:val="20"/>
        <w:szCs w:val="20"/>
        <w:w w:val="100"/>
      </w:r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rPr>
        <w:rFonts w:ascii="宋体" w:eastAsia="宋体" w:hAnsi="宋体"/>
        <w:sz w:val="20"/>
        <w:szCs w:val="20"/>
        <w:w w:val="100"/>
      </w:r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rPr>
        <w:rFonts w:ascii="宋体" w:eastAsia="宋体" w:hAnsi="宋体"/>
        <w:sz w:val="20"/>
        <w:szCs w:val="20"/>
        <w:w w:val="100"/>
      </w:r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rPr>
        <w:rFonts w:ascii="宋体" w:eastAsia="宋体" w:hAnsi="宋体"/>
        <w:sz w:val="20"/>
        <w:szCs w:val="20"/>
        <w:w w:val="100"/>
      </w:r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rPr>
        <w:rFonts w:ascii="宋体" w:eastAsia="宋体" w:hAnsi="宋体"/>
        <w:sz w:val="20"/>
        <w:szCs w:val="20"/>
        <w:w w:val="100"/>
      </w:r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rPr>
        <w:rFonts w:ascii="宋体" w:eastAsia="宋体" w:hAnsi="宋体"/>
        <w:sz w:val="20"/>
        <w:szCs w:val="20"/>
        <w:w w:val="100"/>
      </w:r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rPr>
        <w:rFonts w:ascii="宋体" w:eastAsia="宋体" w:hAnsi="宋体"/>
        <w:sz w:val="20"/>
        <w:szCs w:val="20"/>
        <w:w w:val="100"/>
      </w:rPr>
      <w:lvlText w:val="%9."/>
    </w:lvl>
  </w:abstractNum>
  <w:abstractNum w:abstractNumId="4">
    <w:multiLevelType w:val="hybridMultilevel"/>
    <w:nsid w:val="2F000004"/>
    <w:tmpl w:val="1F002570"/>
    <w:lvl w:ilvl="0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2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3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4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5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6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7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8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</w:abstractNum>
  <w:abstractNum w:abstractNumId="5">
    <w:multiLevelType w:val="multilevel"/>
    <w:nsid w:val="2F000005"/>
    <w:tmpl w:val="1F001EB6"/>
    <w:lvl w:ilvl="0">
      <w:lvlJc w:val="left"/>
      <w:numFmt w:val="decimal"/>
      <w:start w:val="1"/>
      <w:suff w:val="tab"/>
      <w:pPr>
        <w:ind w:left="360" w:hanging="360"/>
        <w:jc w:val="both"/>
      </w:pPr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rPr>
        <w:rFonts w:ascii="宋体" w:eastAsia="宋体" w:hAnsi="宋体"/>
        <w:sz w:val="20"/>
        <w:szCs w:val="20"/>
        <w:w w:val="100"/>
      </w:r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rPr>
        <w:rFonts w:ascii="宋体" w:eastAsia="宋体" w:hAnsi="宋体"/>
        <w:sz w:val="20"/>
        <w:szCs w:val="20"/>
        <w:w w:val="100"/>
      </w:r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rPr>
        <w:rFonts w:ascii="宋体" w:eastAsia="宋体" w:hAnsi="宋体"/>
        <w:sz w:val="20"/>
        <w:szCs w:val="20"/>
        <w:w w:val="100"/>
      </w:r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rPr>
        <w:rFonts w:ascii="宋体" w:eastAsia="宋体" w:hAnsi="宋体"/>
        <w:sz w:val="20"/>
        <w:szCs w:val="20"/>
        <w:w w:val="100"/>
      </w:r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rPr>
        <w:rFonts w:ascii="宋体" w:eastAsia="宋体" w:hAnsi="宋体"/>
        <w:sz w:val="20"/>
        <w:szCs w:val="20"/>
        <w:w w:val="100"/>
      </w:r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rPr>
        <w:rFonts w:ascii="宋体" w:eastAsia="宋体" w:hAnsi="宋体"/>
        <w:sz w:val="20"/>
        <w:szCs w:val="20"/>
        <w:w w:val="100"/>
      </w:r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rPr>
        <w:rFonts w:ascii="宋体" w:eastAsia="宋体" w:hAnsi="宋体"/>
        <w:sz w:val="20"/>
        <w:szCs w:val="20"/>
        <w:w w:val="100"/>
      </w:r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rPr>
        <w:rFonts w:ascii="宋体" w:eastAsia="宋体" w:hAnsi="宋体"/>
        <w:sz w:val="20"/>
        <w:szCs w:val="20"/>
        <w:w w:val="100"/>
      </w:rPr>
      <w:lvlText w:val="%9."/>
    </w:lvl>
  </w:abstractNum>
  <w:abstractNum w:abstractNumId="6">
    <w:multiLevelType w:val="hybridMultilevel"/>
    <w:nsid w:val="2F000006"/>
    <w:tmpl w:val="1F00166B"/>
    <w:lvl w:ilvl="0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2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3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4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5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6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7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  <w:lvl w:ilvl="8">
      <w:lvlJc w:val="left"/>
      <w:numFmt w:val="decimal"/>
      <w:start w:val="1"/>
      <w:suff w:val="nothing"/>
      <w:rPr>
        <w:rFonts w:ascii="宋体" w:eastAsia="宋体" w:hAnsi="宋体"/>
        <w:sz w:val="20"/>
        <w:szCs w:val="20"/>
        <w:w w:val="100"/>
      </w:rPr>
      <w:lvlText w:val="%1、"/>
    </w:lvl>
  </w:abstractNum>
  <w:abstractNum w:abstractNumId="7">
    <w:multiLevelType w:val="multilevel"/>
    <w:nsid w:val="2F000007"/>
    <w:tmpl w:val="1F003957"/>
    <w:lvl w:ilvl="0">
      <w:lvlJc w:val="left"/>
      <w:numFmt w:val="decimal"/>
      <w:start w:val="1"/>
      <w:suff w:val="tab"/>
      <w:pPr>
        <w:ind w:left="360" w:hanging="360"/>
        <w:jc w:val="both"/>
      </w:pPr>
      <w:rPr>
        <w:rFonts w:ascii="宋体" w:eastAsia="宋体" w:hAnsi="宋体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rPr>
        <w:rFonts w:ascii="宋体" w:eastAsia="宋体" w:hAnsi="宋体"/>
        <w:sz w:val="20"/>
        <w:szCs w:val="20"/>
        <w:w w:val="100"/>
      </w:r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rPr>
        <w:rFonts w:ascii="宋体" w:eastAsia="宋体" w:hAnsi="宋体"/>
        <w:sz w:val="20"/>
        <w:szCs w:val="20"/>
        <w:w w:val="100"/>
      </w:r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rPr>
        <w:rFonts w:ascii="宋体" w:eastAsia="宋体" w:hAnsi="宋体"/>
        <w:sz w:val="20"/>
        <w:szCs w:val="20"/>
        <w:w w:val="100"/>
      </w:r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rPr>
        <w:rFonts w:ascii="宋体" w:eastAsia="宋体" w:hAnsi="宋体"/>
        <w:sz w:val="20"/>
        <w:szCs w:val="20"/>
        <w:w w:val="100"/>
      </w:r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rPr>
        <w:rFonts w:ascii="宋体" w:eastAsia="宋体" w:hAnsi="宋体"/>
        <w:sz w:val="20"/>
        <w:szCs w:val="20"/>
        <w:w w:val="100"/>
      </w:r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rPr>
        <w:rFonts w:ascii="宋体" w:eastAsia="宋体" w:hAnsi="宋体"/>
        <w:sz w:val="20"/>
        <w:szCs w:val="20"/>
        <w:w w:val="100"/>
      </w:r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rPr>
        <w:rFonts w:ascii="宋体" w:eastAsia="宋体" w:hAnsi="宋体"/>
        <w:sz w:val="20"/>
        <w:szCs w:val="20"/>
        <w:w w:val="100"/>
      </w:r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rPr>
        <w:rFonts w:ascii="宋体" w:eastAsia="宋体" w:hAnsi="宋体"/>
        <w:sz w:val="20"/>
        <w:szCs w:val="20"/>
        <w:w w:val="100"/>
      </w:rPr>
      <w:lvlText w:val="%9.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800"/>
  <w:displayHorizontalDrawingGridEvery w:val="0"/>
  <w:displayVerticalDrawingGridEvery w:val="2"/>
  <w:noPunctuationKerning/>
  <w:characterSpacingControl w:val="doNotCompress"/>
  <w:bordersDoNotSurroundHeader/>
  <w:bordersDoNotSurroundFooter/>
  <w:compat>
    <w:balanceSingleByteDoubleByteWidth/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jc w:val="both"/>
      </w:pPr>
    </w:pPrDefault>
    <w:rPrDefault>
      <w:rPr>
        <w:shd w:val="clear"/>
        <w:sz w:val="21"/>
        <w:szCs w:val="21"/>
        <w:w w:val="100"/>
      </w:rPr>
    </w:rPrDefault>
  </w:docDefaults>
  <w:style w:default="1" w:styleId="PO1" w:type="paragraph">
    <w:name w:val="Normal"/>
    <w:link w:val="PO-1"/>
    <w:qFormat/>
    <w:uiPriority w:val="1"/>
    <w:pPr>
      <w:jc w:val="both"/>
    </w:pPr>
    <w:rPr>
      <w:shd w:val="clear"/>
      <w:sz w:val="21"/>
      <w:szCs w:val="21"/>
      <w:w w:val="100"/>
    </w:rPr>
  </w:style>
  <w:style w:default="1" w:styleId="PO2" w:type="character">
    <w:name w:val="Default Paragraph Font"/>
    <w:qFormat/>
    <w:uiPriority w:val="2"/>
    <w:semiHidden/>
    <w:unhideWhenUsed/>
    <w:rPr>
      <w:shd w:val="clear"/>
      <w:sz w:val="21"/>
      <w:szCs w:val="21"/>
      <w:w w:val="100"/>
    </w:rPr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ind w:left="950" w:right="950" w:firstLine="0"/>
      <w:jc w:val="center"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basedOn w:val="PO1"/>
    <w:qFormat/>
    <w:uiPriority w:val="26"/>
    <w:unhideWhenUsed/>
    <w:pPr>
      <w:ind w:firstLine="420"/>
      <w:widowControl/>
    </w:pPr>
    <w:rPr>
      <w:rFonts w:ascii="宋体" w:eastAsia="宋体" w:hAnsi="宋体"/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numbering" Target="numbering.xml"></Relationship><Relationship Id="rId6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0</Lines>
  <LinksUpToDate>false</LinksUpToDate>
  <Pages>3</Pages>
  <Paragraphs>0</Paragraphs>
  <Words>167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dell</dc:creator>
  <cp:lastModifiedBy/>
</cp:coreProperties>
</file>