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70" w:lineRule="exact"/>
        <w:jc w:val="left"/>
        <w:rPr>
          <w:rFonts w:eastAsia="方正黑体_GBK"/>
          <w:szCs w:val="32"/>
        </w:rPr>
      </w:pPr>
      <w:r>
        <w:rPr>
          <w:rFonts w:eastAsia="方正黑体_GBK"/>
          <w:szCs w:val="32"/>
        </w:rPr>
        <w:t>附件2</w:t>
      </w:r>
    </w:p>
    <w:p>
      <w:pPr>
        <w:spacing w:line="570" w:lineRule="exact"/>
        <w:jc w:val="left"/>
        <w:rPr>
          <w:rFonts w:ascii="Times New Roman" w:eastAsia="方正小标宋_GBK"/>
          <w:sz w:val="44"/>
          <w:szCs w:val="44"/>
        </w:rPr>
      </w:pPr>
    </w:p>
    <w:p>
      <w:pPr>
        <w:spacing w:line="570" w:lineRule="exact"/>
        <w:jc w:val="center"/>
        <w:rPr>
          <w:rFonts w:ascii="Times New Roman" w:eastAsia="方正小标宋_GBK"/>
          <w:sz w:val="44"/>
          <w:szCs w:val="44"/>
        </w:rPr>
      </w:pPr>
      <w:r>
        <w:rPr>
          <w:rFonts w:hint="default" w:ascii="Times New Roman" w:eastAsia="方正小标宋_GBK"/>
          <w:sz w:val="44"/>
          <w:szCs w:val="44"/>
        </w:rPr>
        <w:t>主体赛创新组获奖名单</w:t>
      </w:r>
    </w:p>
    <w:p>
      <w:pPr>
        <w:spacing w:line="570" w:lineRule="exact"/>
        <w:jc w:val="center"/>
        <w:rPr>
          <w:rFonts w:eastAsia="方正仿宋_GBK"/>
          <w:szCs w:val="32"/>
        </w:rPr>
      </w:pPr>
    </w:p>
    <w:p>
      <w:pPr>
        <w:spacing w:line="570" w:lineRule="exact"/>
        <w:jc w:val="center"/>
        <w:rPr>
          <w:rFonts w:ascii="Times New Roman" w:eastAsia="方正楷体_GBK"/>
          <w:szCs w:val="32"/>
        </w:rPr>
      </w:pPr>
      <w:r>
        <w:rPr>
          <w:rFonts w:hint="default" w:ascii="Times New Roman" w:eastAsia="方正楷体_GBK"/>
          <w:szCs w:val="32"/>
        </w:rPr>
        <w:t>一等奖</w:t>
      </w:r>
    </w:p>
    <w:p>
      <w:pPr>
        <w:spacing w:line="570" w:lineRule="exact"/>
        <w:ind w:firstLine="640" w:firstLineChars="200"/>
        <w:jc w:val="left"/>
        <w:rPr>
          <w:rFonts w:ascii="Times New Roman" w:eastAsia="方正楷体_GBK"/>
          <w:szCs w:val="32"/>
        </w:rPr>
      </w:pPr>
      <w:r>
        <w:rPr>
          <w:rFonts w:hint="default" w:eastAsia="方正仿宋_GBK"/>
          <w:szCs w:val="32"/>
        </w:rPr>
        <w:t>基于电流指纹技术的消防边缘计算终端</w:t>
      </w:r>
    </w:p>
    <w:p>
      <w:pPr>
        <w:spacing w:line="570" w:lineRule="exact"/>
        <w:jc w:val="center"/>
        <w:rPr>
          <w:rFonts w:eastAsia="方正楷体_GBK"/>
          <w:szCs w:val="32"/>
        </w:rPr>
      </w:pPr>
    </w:p>
    <w:p>
      <w:pPr>
        <w:spacing w:line="570" w:lineRule="exact"/>
        <w:jc w:val="center"/>
        <w:rPr>
          <w:rFonts w:eastAsia="方正楷体_GBK"/>
          <w:szCs w:val="32"/>
        </w:rPr>
      </w:pPr>
      <w:r>
        <w:rPr>
          <w:rFonts w:eastAsia="方正楷体_GBK"/>
          <w:szCs w:val="32"/>
        </w:rPr>
        <w:t>二等奖</w:t>
      </w:r>
    </w:p>
    <w:p>
      <w:pPr>
        <w:spacing w:line="570" w:lineRule="exact"/>
        <w:ind w:firstLine="640" w:firstLineChars="200"/>
        <w:jc w:val="left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企业用工风险识别专家——芝麻卫士</w:t>
      </w:r>
    </w:p>
    <w:p>
      <w:pPr>
        <w:spacing w:line="570" w:lineRule="exact"/>
        <w:ind w:firstLine="640" w:firstLineChars="200"/>
        <w:jc w:val="left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高性能锂电池系统</w:t>
      </w:r>
    </w:p>
    <w:p>
      <w:pPr>
        <w:spacing w:line="570" w:lineRule="exact"/>
        <w:ind w:firstLine="480" w:firstLineChars="150"/>
        <w:jc w:val="left"/>
        <w:rPr>
          <w:rFonts w:ascii="Times New Roman" w:eastAsia="方正仿宋_GBK"/>
          <w:szCs w:val="32"/>
        </w:rPr>
      </w:pPr>
    </w:p>
    <w:p>
      <w:pPr>
        <w:spacing w:line="570" w:lineRule="exact"/>
        <w:jc w:val="center"/>
        <w:rPr>
          <w:rFonts w:eastAsia="方正楷体_GBK"/>
          <w:szCs w:val="32"/>
        </w:rPr>
      </w:pPr>
      <w:r>
        <w:rPr>
          <w:rFonts w:eastAsia="方正楷体_GBK"/>
          <w:szCs w:val="32"/>
        </w:rPr>
        <w:t>三等奖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创享科技——国际领先纳米级非常规能源储量评估服务商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果蔬保鲜抗菌肽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宏涂科技——全球领先的热喷涂涂料制造商</w:t>
      </w:r>
    </w:p>
    <w:p>
      <w:pPr>
        <w:spacing w:line="570" w:lineRule="exact"/>
        <w:jc w:val="left"/>
        <w:rPr>
          <w:rFonts w:eastAsia="方正仿宋_GBK"/>
          <w:szCs w:val="32"/>
        </w:rPr>
      </w:pPr>
    </w:p>
    <w:p>
      <w:pPr>
        <w:spacing w:line="570" w:lineRule="exact"/>
        <w:jc w:val="center"/>
        <w:rPr>
          <w:rFonts w:ascii="Times New Roman" w:eastAsia="方正楷体_GBK"/>
          <w:szCs w:val="32"/>
        </w:rPr>
      </w:pPr>
      <w:r>
        <w:rPr>
          <w:rFonts w:hint="default" w:ascii="Times New Roman" w:eastAsia="方正楷体_GBK"/>
          <w:szCs w:val="32"/>
        </w:rPr>
        <w:t>优胜奖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基于数字摄影测量技术的大尺度精密三维视觉测量仪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新能源汽车用高性能SiC模块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北斗+地理信息技术应用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图知科技</w:t>
      </w:r>
    </w:p>
    <w:p>
      <w:pPr>
        <w:spacing w:line="570" w:lineRule="exact"/>
        <w:jc w:val="center"/>
        <w:rPr>
          <w:rFonts w:hint="default" w:ascii="Times New Roman" w:eastAsia="方正楷体_GBK"/>
          <w:szCs w:val="32"/>
        </w:rPr>
      </w:pPr>
    </w:p>
    <w:p>
      <w:pPr>
        <w:spacing w:line="570" w:lineRule="exact"/>
        <w:jc w:val="center"/>
        <w:rPr>
          <w:rFonts w:eastAsia="方正仿宋_GBK"/>
          <w:szCs w:val="32"/>
        </w:rPr>
      </w:pPr>
      <w:r>
        <w:rPr>
          <w:rFonts w:hint="default" w:ascii="Times New Roman" w:eastAsia="方正楷体_GBK"/>
          <w:szCs w:val="32"/>
        </w:rPr>
        <w:t>提名奖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精准快速病原微生物检测探针的开发及其产业化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有机太阳能电池材电子器件的开发与应用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北斗三号/GPS多模高性能卫星导航基带处理芯片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元一科技：隧道贯通全周期管控智慧云台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爱眼卫士-基于Eink技术的护眼节能产品的研发和产业化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菌易净-类石墨相氮化碳粉末</w:t>
      </w:r>
    </w:p>
    <w:p>
      <w:pPr>
        <w:spacing w:line="570" w:lineRule="exact"/>
        <w:ind w:firstLine="660" w:firstLineChars="250"/>
        <w:jc w:val="left"/>
        <w:rPr>
          <w:rFonts w:eastAsia="方正仿宋_GBK"/>
          <w:spacing w:val="-28"/>
          <w:szCs w:val="32"/>
        </w:rPr>
      </w:pPr>
      <w:r>
        <w:rPr>
          <w:rFonts w:eastAsia="方正仿宋_GBK"/>
          <w:spacing w:val="-28"/>
          <w:szCs w:val="32"/>
        </w:rPr>
        <w:t>基于遥感卫星多模态数据组合模型与迁移学习(TL)的智慧城市检测系统</w:t>
      </w:r>
    </w:p>
    <w:p>
      <w:pPr>
        <w:spacing w:line="570" w:lineRule="exact"/>
        <w:ind w:firstLine="600" w:firstLineChars="200"/>
        <w:jc w:val="left"/>
        <w:rPr>
          <w:rFonts w:eastAsia="方正仿宋_GBK"/>
          <w:spacing w:val="-10"/>
          <w:szCs w:val="32"/>
        </w:rPr>
      </w:pPr>
      <w:r>
        <w:rPr>
          <w:rFonts w:eastAsia="方正仿宋_GBK"/>
          <w:spacing w:val="-10"/>
          <w:szCs w:val="32"/>
        </w:rPr>
        <w:t>具有稳定控释特点的功能性变性淀粉衍生产品的研发及产业化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创新绿色环保宠物驱虫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韩信点牛—淮阴区马头镇现代农业样板式千头肉牛养殖场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城市管网监控系统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全自动大蒜播种机、收获机生产销售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《希希玻璃家居》短视频电商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内容电商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单分散高分子微球及光子晶体膜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新一代皮肤缝合器械无创皮肤缝合器研发及产业化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茶酒馆文创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用伞为你撑起一片天</w:t>
      </w:r>
    </w:p>
    <w:p>
      <w:pPr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人工智能产业园项目</w:t>
      </w:r>
    </w:p>
    <w:p>
      <w:pPr>
        <w:spacing w:line="570" w:lineRule="exact"/>
        <w:ind w:firstLine="640" w:firstLineChars="200"/>
        <w:jc w:val="left"/>
      </w:pPr>
      <w:r>
        <w:rPr>
          <w:rFonts w:eastAsia="方正仿宋_GBK"/>
          <w:szCs w:val="32"/>
        </w:rPr>
        <w:t>手办涂装的私人订制到原创生产工厂化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B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2020-09-14T03:28:56Z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