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方正仿宋_GBK"/>
          <w:color w:val="FF0000"/>
          <w:sz w:val="32"/>
          <w:szCs w:val="32"/>
        </w:rPr>
      </w:pPr>
      <w:r>
        <w:rPr>
          <w:rFonts w:hint="eastAsia" w:eastAsia="方正仿宋_GBK"/>
          <w:color w:val="FF0000"/>
          <w:sz w:val="32"/>
          <w:szCs w:val="32"/>
        </w:rPr>
        <w:t>附件1：招聘单位名录</w:t>
      </w:r>
    </w:p>
    <w:p>
      <w:pPr>
        <w:spacing w:line="520" w:lineRule="exact"/>
        <w:rPr>
          <w:rFonts w:eastAsia="方正仿宋_GBK"/>
          <w:color w:val="FF0000"/>
          <w:sz w:val="32"/>
          <w:szCs w:val="32"/>
        </w:rPr>
      </w:pPr>
    </w:p>
    <w:tbl>
      <w:tblPr>
        <w:tblStyle w:val="3"/>
        <w:tblW w:w="1017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0"/>
        <w:gridCol w:w="3690"/>
        <w:gridCol w:w="27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黑体_GBK" w:hAnsi="方正公文黑体" w:eastAsia="方正黑体_GBK" w:cs="微软雅黑"/>
                <w:color w:val="000000"/>
                <w:sz w:val="24"/>
              </w:rPr>
            </w:pPr>
            <w:r>
              <w:rPr>
                <w:rFonts w:hint="eastAsia" w:ascii="方正楷体_GBK" w:hAnsi="微软雅黑" w:eastAsia="方正楷体_GBK" w:cs="微软雅黑"/>
                <w:color w:val="FF0000"/>
                <w:sz w:val="28"/>
                <w:szCs w:val="28"/>
              </w:rPr>
              <w:t>高校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南京理工大学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南京师范大学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苏州大学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南京工业大学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中国药科大学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南京医科大学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南京财经大学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南京审计大学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常州大学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南通大学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扬州大学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江苏大学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徐州医科大学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南京工程学院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江苏师范大学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江苏科技大学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江苏理工学院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苏州科技大学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淮阴师范学院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江苏海洋大学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常州工学院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淮阴工学院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常熟理工学院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盐城工学院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徐州工程学院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盐城师范学院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江苏开放大学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南京特殊教育师范学院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黑体_GBK" w:hAnsi="方正公文黑体" w:eastAsia="方正黑体_GBK" w:cs="微软雅黑"/>
                <w:color w:val="000000"/>
                <w:sz w:val="24"/>
              </w:rPr>
            </w:pPr>
            <w:r>
              <w:rPr>
                <w:rFonts w:hint="eastAsia" w:ascii="方正楷体_GBK" w:hAnsi="微软雅黑" w:eastAsia="方正楷体_GBK" w:cs="微软雅黑"/>
                <w:color w:val="FF0000"/>
                <w:sz w:val="28"/>
                <w:szCs w:val="28"/>
              </w:rPr>
              <w:t>科研院所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江苏省农业科学院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中国电子科技集团公司第二十八研究所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中国电子科技集团公司第十四研究所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黑体_GBK" w:hAnsi="微软雅黑" w:eastAsia="方正黑体_GBK" w:cs="微软雅黑"/>
                <w:color w:val="000000"/>
                <w:sz w:val="24"/>
              </w:rPr>
            </w:pPr>
            <w:r>
              <w:rPr>
                <w:rFonts w:hint="eastAsia" w:ascii="方正楷体_GBK" w:hAnsi="微软雅黑" w:eastAsia="方正楷体_GBK" w:cs="微软雅黑"/>
                <w:color w:val="FF0000"/>
                <w:sz w:val="28"/>
                <w:szCs w:val="28"/>
              </w:rPr>
              <w:t>医疗机构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东南大学附属中大医院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南京医科大学第二附属医院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南京医科大学附属口腔医院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南京医科大学附属逸夫医院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徐州医科大学附属医院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黑体_GBK" w:hAnsi="微软雅黑" w:eastAsia="方正黑体_GBK" w:cs="微软雅黑"/>
                <w:color w:val="000000"/>
                <w:sz w:val="24"/>
              </w:rPr>
            </w:pPr>
            <w:r>
              <w:rPr>
                <w:rFonts w:hint="eastAsia" w:ascii="方正楷体_GBK" w:hAnsi="微软雅黑" w:eastAsia="方正楷体_GBK" w:cs="微软雅黑"/>
                <w:color w:val="FF0000"/>
                <w:sz w:val="28"/>
                <w:szCs w:val="28"/>
              </w:rPr>
              <w:t>重点企业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江苏省国信集团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江苏高科技投资集团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江苏银行股份有限公司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江苏省信用再担保集团有限公司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江苏交通控股有限公司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江苏省苏豪控股集团有限公司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华泰证券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东部机场集团有限公司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徐州矿务集团有限公司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江苏省国金资本运营集团有限公司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江苏省粮食集团有限责任公司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江苏省盐业集团有限责任公司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江苏省广电有线信息网络股份有限公司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江苏省农垦集团有限公司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中国江苏国际经济技术合作集团有限公司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江苏汇鸿汇升投资管理有限公司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江苏汇鸿国际集团同泰贸易有限公司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江苏省港口集团有限公司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江苏省惠隆资产管理有限公司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正大天晴药业集团股份有限公司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苏宁易购集团股份有限公司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亨通集团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龚璨</cp:lastModifiedBy>
  <dcterms:modified xsi:type="dcterms:W3CDTF">2020-11-24T09:37:56Z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