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default" w:ascii="Times New Roman" w:eastAsia="方正黑体_GBK"/>
          <w:color w:val="000000"/>
          <w:szCs w:val="32"/>
        </w:rPr>
      </w:pPr>
      <w:r>
        <w:rPr>
          <w:rFonts w:hint="default" w:ascii="Times New Roman" w:eastAsia="方正黑体_GBK"/>
          <w:color w:val="000000"/>
          <w:szCs w:val="32"/>
        </w:rPr>
        <w:t>附件2</w:t>
      </w:r>
    </w:p>
    <w:p>
      <w:pPr>
        <w:spacing w:line="480" w:lineRule="auto"/>
        <w:jc w:val="center"/>
        <w:rPr>
          <w:rFonts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“重点引才”活动安排</w:t>
      </w:r>
    </w:p>
    <w:tbl>
      <w:tblPr>
        <w:tblStyle w:val="3"/>
        <w:tblW w:w="887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85"/>
        <w:gridCol w:w="56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jc w:val="center"/>
        </w:trPr>
        <w:tc>
          <w:tcPr>
            <w:tcW w:w="3185" w:type="dxa"/>
            <w:shd w:val="clear" w:color="auto" w:fill="auto"/>
            <w:vAlign w:val="center"/>
          </w:tcPr>
          <w:p>
            <w:pPr>
              <w:autoSpaceDE w:val="0"/>
              <w:jc w:val="center"/>
              <w:rPr>
                <w:rFonts w:eastAsia="方正楷体_GBK"/>
                <w:b/>
                <w:bCs/>
                <w:sz w:val="28"/>
                <w:szCs w:val="28"/>
              </w:rPr>
            </w:pPr>
            <w:bookmarkStart w:id="0" w:name="_Hlk17786162"/>
            <w:r>
              <w:rPr>
                <w:rFonts w:eastAsia="方正楷体_GBK"/>
                <w:b/>
                <w:bCs/>
                <w:sz w:val="28"/>
                <w:szCs w:val="28"/>
              </w:rPr>
              <w:t>线上行业专场招聘会</w:t>
            </w:r>
          </w:p>
        </w:tc>
        <w:tc>
          <w:tcPr>
            <w:tcW w:w="5685" w:type="dxa"/>
            <w:shd w:val="clear" w:color="auto" w:fill="auto"/>
            <w:vAlign w:val="center"/>
          </w:tcPr>
          <w:p>
            <w:pPr>
              <w:autoSpaceDE w:val="0"/>
              <w:jc w:val="center"/>
              <w:rPr>
                <w:rFonts w:eastAsia="方正楷体_GBK"/>
                <w:b/>
                <w:bCs/>
                <w:sz w:val="28"/>
                <w:szCs w:val="28"/>
              </w:rPr>
            </w:pPr>
            <w:r>
              <w:rPr>
                <w:rFonts w:eastAsia="方正楷体_GBK"/>
                <w:b/>
                <w:bCs/>
                <w:sz w:val="28"/>
                <w:szCs w:val="28"/>
              </w:rPr>
              <w:t>合作高校</w:t>
            </w: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2" w:hRule="atLeast"/>
          <w:jc w:val="center"/>
        </w:trPr>
        <w:tc>
          <w:tcPr>
            <w:tcW w:w="3185" w:type="dxa"/>
            <w:shd w:val="clear" w:color="auto" w:fill="auto"/>
            <w:vAlign w:val="center"/>
          </w:tcPr>
          <w:p>
            <w:pPr>
              <w:autoSpaceDE w:val="0"/>
              <w:spacing w:line="400" w:lineRule="exact"/>
              <w:jc w:val="center"/>
              <w:rPr>
                <w:rFonts w:eastAsia="方正仿宋_GBK"/>
                <w:sz w:val="28"/>
                <w:szCs w:val="28"/>
              </w:rPr>
            </w:pPr>
            <w:r>
              <w:rPr>
                <w:rFonts w:eastAsia="方正仿宋_GBK"/>
                <w:sz w:val="28"/>
                <w:szCs w:val="28"/>
              </w:rPr>
              <w:t>综合类</w:t>
            </w:r>
          </w:p>
        </w:tc>
        <w:tc>
          <w:tcPr>
            <w:tcW w:w="5685" w:type="dxa"/>
            <w:shd w:val="clear" w:color="auto" w:fill="auto"/>
            <w:vAlign w:val="center"/>
          </w:tcPr>
          <w:p>
            <w:pPr>
              <w:autoSpaceDE w:val="0"/>
              <w:spacing w:line="400" w:lineRule="exact"/>
              <w:jc w:val="left"/>
              <w:rPr>
                <w:rFonts w:eastAsia="方正仿宋_GBK"/>
                <w:sz w:val="28"/>
                <w:szCs w:val="28"/>
              </w:rPr>
            </w:pPr>
            <w:r>
              <w:rPr>
                <w:rFonts w:eastAsia="方正仿宋_GBK"/>
                <w:sz w:val="28"/>
                <w:szCs w:val="28"/>
              </w:rPr>
              <w:t>全国100所以上高校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36" w:hRule="atLeast"/>
          <w:jc w:val="center"/>
        </w:trPr>
        <w:tc>
          <w:tcPr>
            <w:tcW w:w="3185" w:type="dxa"/>
            <w:shd w:val="clear" w:color="auto" w:fill="auto"/>
            <w:vAlign w:val="center"/>
          </w:tcPr>
          <w:p>
            <w:pPr>
              <w:autoSpaceDE w:val="0"/>
              <w:spacing w:line="400" w:lineRule="exact"/>
              <w:jc w:val="center"/>
              <w:rPr>
                <w:rFonts w:eastAsia="方正仿宋_GBK"/>
                <w:sz w:val="28"/>
                <w:szCs w:val="28"/>
              </w:rPr>
            </w:pPr>
            <w:r>
              <w:rPr>
                <w:rFonts w:eastAsia="方正仿宋_GBK"/>
                <w:spacing w:val="-20"/>
                <w:sz w:val="28"/>
                <w:szCs w:val="28"/>
              </w:rPr>
              <w:t>电子信息</w:t>
            </w:r>
          </w:p>
        </w:tc>
        <w:tc>
          <w:tcPr>
            <w:tcW w:w="5685" w:type="dxa"/>
            <w:shd w:val="clear" w:color="auto" w:fill="auto"/>
            <w:vAlign w:val="center"/>
          </w:tcPr>
          <w:p>
            <w:pPr>
              <w:autoSpaceDE w:val="0"/>
              <w:spacing w:line="400" w:lineRule="exact"/>
              <w:jc w:val="left"/>
              <w:rPr>
                <w:rFonts w:eastAsia="方正仿宋_GBK"/>
                <w:sz w:val="28"/>
                <w:szCs w:val="28"/>
              </w:rPr>
            </w:pPr>
            <w:r>
              <w:rPr>
                <w:rFonts w:eastAsia="方正仿宋_GBK"/>
                <w:sz w:val="28"/>
                <w:szCs w:val="28"/>
              </w:rPr>
              <w:t>西安电子科技大学、东南大学、南京理工大学、西安邮电大学、电子科技大学、南京邮电大学、南京航空航天大学等高校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92" w:hRule="atLeast"/>
          <w:jc w:val="center"/>
        </w:trPr>
        <w:tc>
          <w:tcPr>
            <w:tcW w:w="3185" w:type="dxa"/>
            <w:shd w:val="clear" w:color="auto" w:fill="auto"/>
            <w:vAlign w:val="center"/>
          </w:tcPr>
          <w:p>
            <w:pPr>
              <w:autoSpaceDE w:val="0"/>
              <w:spacing w:line="400" w:lineRule="exact"/>
              <w:jc w:val="center"/>
              <w:rPr>
                <w:rFonts w:eastAsia="方正仿宋_GBK"/>
                <w:sz w:val="28"/>
                <w:szCs w:val="28"/>
              </w:rPr>
            </w:pPr>
            <w:r>
              <w:rPr>
                <w:rFonts w:eastAsia="方正仿宋_GBK"/>
                <w:spacing w:val="-20"/>
                <w:sz w:val="28"/>
                <w:szCs w:val="28"/>
              </w:rPr>
              <w:t>智能制造业</w:t>
            </w:r>
          </w:p>
        </w:tc>
        <w:tc>
          <w:tcPr>
            <w:tcW w:w="5685" w:type="dxa"/>
            <w:shd w:val="clear" w:color="auto" w:fill="auto"/>
            <w:vAlign w:val="center"/>
          </w:tcPr>
          <w:p>
            <w:pPr>
              <w:autoSpaceDE w:val="0"/>
              <w:spacing w:line="400" w:lineRule="exact"/>
              <w:jc w:val="left"/>
              <w:rPr>
                <w:rFonts w:eastAsia="方正仿宋_GBK"/>
                <w:sz w:val="28"/>
                <w:szCs w:val="28"/>
              </w:rPr>
            </w:pPr>
            <w:r>
              <w:rPr>
                <w:rFonts w:eastAsia="方正仿宋_GBK"/>
                <w:sz w:val="28"/>
                <w:szCs w:val="28"/>
              </w:rPr>
              <w:t>东北大学、中南大学、武汉大学、吉林大学、西北工业大学、华中科技大学、太原理工大学、郑州大学、哈尔滨工业大学（威海校区）、合肥工业大学（宣城校区）、上海大学、黑龙江大学、哈尔滨理工大学、燕山大学、安徽理工大学、安徽工程大学等高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23" w:hRule="atLeast"/>
          <w:jc w:val="center"/>
        </w:trPr>
        <w:tc>
          <w:tcPr>
            <w:tcW w:w="3185" w:type="dxa"/>
            <w:shd w:val="clear" w:color="auto" w:fill="auto"/>
            <w:vAlign w:val="center"/>
          </w:tcPr>
          <w:p>
            <w:pPr>
              <w:autoSpaceDE w:val="0"/>
              <w:spacing w:line="400" w:lineRule="exact"/>
              <w:jc w:val="center"/>
              <w:rPr>
                <w:rFonts w:eastAsia="方正仿宋_GBK"/>
                <w:sz w:val="28"/>
                <w:szCs w:val="28"/>
              </w:rPr>
            </w:pPr>
            <w:r>
              <w:rPr>
                <w:rFonts w:eastAsia="方正仿宋_GBK"/>
                <w:sz w:val="28"/>
                <w:szCs w:val="28"/>
              </w:rPr>
              <w:t>卫生健康</w:t>
            </w:r>
          </w:p>
        </w:tc>
        <w:tc>
          <w:tcPr>
            <w:tcW w:w="5685" w:type="dxa"/>
            <w:shd w:val="clear" w:color="auto" w:fill="auto"/>
            <w:vAlign w:val="center"/>
          </w:tcPr>
          <w:p>
            <w:pPr>
              <w:autoSpaceDE w:val="0"/>
              <w:spacing w:line="400" w:lineRule="exact"/>
              <w:jc w:val="left"/>
              <w:rPr>
                <w:rFonts w:eastAsia="方正仿宋_GBK"/>
                <w:sz w:val="28"/>
                <w:szCs w:val="28"/>
              </w:rPr>
            </w:pPr>
            <w:r>
              <w:rPr>
                <w:rFonts w:eastAsia="方正仿宋_GBK"/>
                <w:sz w:val="28"/>
                <w:szCs w:val="28"/>
              </w:rPr>
              <w:t>中南大学湘雅医学院、武汉大学医学院、四川大学华西医学院、湖南大学医学院、安徽医科大学、南京医科大学、南京中医药大学、苏州大学医学院等高校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69" w:hRule="atLeast"/>
          <w:jc w:val="center"/>
        </w:trPr>
        <w:tc>
          <w:tcPr>
            <w:tcW w:w="3185" w:type="dxa"/>
            <w:shd w:val="clear" w:color="auto" w:fill="auto"/>
            <w:vAlign w:val="center"/>
          </w:tcPr>
          <w:p>
            <w:pPr>
              <w:autoSpaceDE w:val="0"/>
              <w:spacing w:line="320" w:lineRule="exact"/>
              <w:jc w:val="center"/>
              <w:rPr>
                <w:rFonts w:eastAsia="方正仿宋_GBK"/>
                <w:sz w:val="28"/>
                <w:szCs w:val="28"/>
              </w:rPr>
            </w:pPr>
            <w:r>
              <w:rPr>
                <w:rFonts w:eastAsia="方正仿宋_GBK"/>
                <w:sz w:val="28"/>
                <w:szCs w:val="28"/>
              </w:rPr>
              <w:t>各地特色引才活动</w:t>
            </w:r>
          </w:p>
        </w:tc>
        <w:tc>
          <w:tcPr>
            <w:tcW w:w="5685" w:type="dxa"/>
            <w:shd w:val="clear" w:color="auto" w:fill="auto"/>
            <w:vAlign w:val="center"/>
          </w:tcPr>
          <w:p>
            <w:pPr>
              <w:autoSpaceDE w:val="0"/>
              <w:spacing w:line="320" w:lineRule="exact"/>
              <w:jc w:val="left"/>
              <w:rPr>
                <w:rFonts w:eastAsia="方正仿宋_GBK"/>
                <w:sz w:val="28"/>
                <w:szCs w:val="28"/>
              </w:rPr>
            </w:pPr>
            <w:r>
              <w:rPr>
                <w:rFonts w:eastAsia="方正仿宋_GBK"/>
                <w:sz w:val="28"/>
                <w:szCs w:val="28"/>
              </w:rPr>
              <w:t>各市、县（市、区）开展适合当地经济发展和产业特点的高校特色引才活动。</w:t>
            </w:r>
          </w:p>
        </w:tc>
      </w:tr>
    </w:tbl>
    <w:p>
      <w:pPr>
        <w:spacing w:line="570" w:lineRule="exact"/>
        <w:ind w:left="551" w:hanging="551" w:hangingChars="196"/>
        <w:jc w:val="left"/>
        <w:rPr>
          <w:rFonts w:ascii="Times New Roman" w:hAnsi="Times New Roman" w:eastAsia="方正仿宋_GBK" w:cs="Times New Roman"/>
          <w:sz w:val="28"/>
          <w:szCs w:val="28"/>
        </w:rPr>
      </w:pPr>
      <w:r>
        <w:rPr>
          <w:rFonts w:hint="default" w:ascii="Times New Roman" w:hAnsi="Times New Roman" w:eastAsia="方正仿宋_GBK" w:cs="Times New Roman"/>
          <w:b/>
          <w:sz w:val="28"/>
          <w:szCs w:val="28"/>
        </w:rPr>
        <w:t>注：</w:t>
      </w:r>
      <w:r>
        <w:rPr>
          <w:rFonts w:hint="default" w:ascii="Times New Roman" w:hAnsi="Times New Roman" w:eastAsia="方正仿宋_GBK" w:cs="Times New Roman"/>
          <w:sz w:val="28"/>
          <w:szCs w:val="28"/>
        </w:rPr>
        <w:t>在此基础上，省厅将视引才情况推出其他行业类招聘活动和各地特色引才活动计划，并在“江苏招才月”系列引才活动网页发布。</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EF1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龚璨</cp:lastModifiedBy>
  <dcterms:modified xsi:type="dcterms:W3CDTF">2020-09-11T06:38:38Z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