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黑体_GBK"/>
          <w:sz w:val="32"/>
          <w:szCs w:val="32"/>
        </w:rPr>
        <w:t>附件1</w:t>
      </w:r>
    </w:p>
    <w:p>
      <w:pPr>
        <w:jc w:val="left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全省第四届劳动人事争议仲裁员业务技能决赛成绩排名</w:t>
      </w:r>
    </w:p>
    <w:tbl>
      <w:tblPr>
        <w:tblStyle w:val="3"/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992"/>
        <w:gridCol w:w="5812"/>
        <w:gridCol w:w="8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排名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花晓艳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无锡市江阴市劳动人事争议仲裁院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周玉蓉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扬州市宝应县劳动人事争议仲裁院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张小炜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常州市劳动人事争议仲裁院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黄小丽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南通市崇川区劳动人事争议仲裁院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露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扬州市邗江区劳动人事争议仲裁院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尹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群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常州市溧阳市劳动人事争议仲裁院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张利平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连云港市东海县人力资源和社会保障局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王碧汀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南京市浦口区劳动人事争议仲裁院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彭亚君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南通市劳动人事争议仲裁院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孙长林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连云港市劳动人事争议仲裁院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刘会芳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徐州市劳动人事争议仲裁院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何小伟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连云港市东海县劳动人事争议仲裁院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孙茜妮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苏州市高新区（虎丘区）劳动人事争议仲裁院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孟婵娟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盐城市劳动人事争议仲裁院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颖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苏州市劳动人事争议仲裁院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周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扬州市劳动人事争议仲裁院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镇江市丹阳市人力资源和社会保障局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强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维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镇江市丹徒区劳动人事争议仲裁院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丁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淮安市经济技术开发区劳动人事争议仲裁院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杨尚君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徐州市劳动人事争议仲裁院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20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69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2021-07-15T08:19:32Z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