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Times New Roman" w:hAnsi="Times New Roman" w:eastAsia="方正小标宋_GBK"/>
          <w:sz w:val="36"/>
          <w:szCs w:val="36"/>
        </w:rPr>
      </w:pPr>
      <w:r>
        <w:rPr>
          <w:rFonts w:ascii="Times New Roman" w:hAnsi="Times New Roman" w:eastAsia="方正黑体_GBK"/>
          <w:sz w:val="32"/>
          <w:szCs w:val="32"/>
        </w:rPr>
        <w:t>附件1</w:t>
      </w:r>
    </w:p>
    <w:p>
      <w:pPr>
        <w:jc w:val="left"/>
        <w:rPr>
          <w:rFonts w:ascii="Times New Roman" w:hAnsi="Times New Roman" w:eastAsia="方正小标宋_GBK"/>
          <w:sz w:val="36"/>
          <w:szCs w:val="36"/>
        </w:rPr>
      </w:pPr>
      <w:r>
        <w:rPr>
          <w:rFonts w:ascii="Times New Roman" w:hAnsi="Times New Roman" w:eastAsia="方正小标宋_GBK"/>
          <w:sz w:val="36"/>
          <w:szCs w:val="36"/>
        </w:rPr>
        <w:t>全省第四届劳动人事争议仲裁员业务技能决赛成绩排名</w:t>
      </w:r>
    </w:p>
    <w:tbl>
      <w:tblPr>
        <w:tblStyle w:val="3"/>
        <w:tblW w:w="8789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5"/>
        <w:gridCol w:w="992"/>
        <w:gridCol w:w="5812"/>
        <w:gridCol w:w="85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5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  <w:t>排名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花晓艳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无锡市江阴市劳动人事争议仲裁院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周玉蓉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扬州市宝应县劳动人事争议仲裁院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张小炜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常州市劳动人事争议仲裁院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黄小丽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南通市崇川区劳动人事争议仲裁院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王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露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扬州市邗江区劳动人事争议仲裁院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尹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常州市溧阳市劳动人事争议仲裁院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张利平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连云港市东海县人力资源和社会保障局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王碧汀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南京市浦口区劳动人事争议仲裁院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彭亚君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南通市劳动人事争议仲裁院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孙长林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连云港市劳动人事争议仲裁院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刘会芳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徐州市劳动人事争议仲裁院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何小伟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连云港市东海县劳动人事争议仲裁院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孙茜妮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苏州市高新区（虎丘区）劳动人事争议仲裁院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孟婵娟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盐城市劳动人事争议仲裁院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王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颖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苏州市劳动人事争议仲裁院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周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彦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扬州市劳动人事争议仲裁院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王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莉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镇江市丹阳市人力资源和社会保障局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强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维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镇江市丹徒区劳动人事争议仲裁院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丁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淮安市经济技术开发区劳动人事争议仲裁院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杨尚君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徐州市劳动人事争议仲裁院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20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5697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2021-07-15T08:19:32Z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