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kern w:val="0"/>
          <w:sz w:val="44"/>
          <w:szCs w:val="44"/>
        </w:rPr>
      </w:pPr>
      <w:bookmarkStart w:id="0" w:name="_Toc532390440"/>
      <w:bookmarkStart w:id="1" w:name="_Toc532390139"/>
      <w:bookmarkStart w:id="2" w:name="_Toc532309906"/>
      <w:r>
        <w:rPr>
          <w:rFonts w:hint="eastAsia" w:ascii="微软雅黑" w:hAnsi="微软雅黑" w:eastAsia="微软雅黑" w:cs="微软雅黑"/>
          <w:b/>
          <w:bCs/>
          <w:color w:val="auto"/>
          <w:spacing w:val="0"/>
          <w:w w:val="100"/>
          <w:kern w:val="0"/>
          <w:sz w:val="44"/>
          <w:szCs w:val="44"/>
        </w:rPr>
        <w:t>第二届江苏省信息技术应用职业技能大赛</w:t>
      </w: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b/>
          <w:bCs/>
          <w:color w:val="auto"/>
          <w:spacing w:val="0"/>
          <w:w w:val="100"/>
          <w:kern w:val="0"/>
          <w:sz w:val="44"/>
          <w:szCs w:val="44"/>
          <w:lang w:eastAsia="zh-CN"/>
        </w:rPr>
      </w:pPr>
      <w:r>
        <w:rPr>
          <w:rFonts w:hint="eastAsia" w:ascii="微软雅黑" w:hAnsi="微软雅黑" w:eastAsia="微软雅黑" w:cs="微软雅黑"/>
          <w:b/>
          <w:bCs/>
          <w:color w:val="auto"/>
          <w:spacing w:val="0"/>
          <w:w w:val="100"/>
          <w:kern w:val="0"/>
          <w:sz w:val="44"/>
          <w:szCs w:val="44"/>
          <w:lang w:val="en-US" w:eastAsia="zh-CN"/>
        </w:rPr>
        <w:t>计算机维修工（智能电子产品检测维修与数据恢复）赛项实施</w:t>
      </w:r>
      <w:r>
        <w:rPr>
          <w:rFonts w:hint="eastAsia" w:ascii="微软雅黑" w:hAnsi="微软雅黑" w:eastAsia="微软雅黑" w:cs="微软雅黑"/>
          <w:b/>
          <w:bCs/>
          <w:color w:val="auto"/>
          <w:spacing w:val="0"/>
          <w:w w:val="100"/>
          <w:kern w:val="0"/>
          <w:sz w:val="44"/>
          <w:szCs w:val="44"/>
        </w:rPr>
        <w:t>方案与</w:t>
      </w:r>
      <w:r>
        <w:rPr>
          <w:rFonts w:hint="eastAsia" w:ascii="微软雅黑" w:hAnsi="微软雅黑" w:eastAsia="微软雅黑" w:cs="微软雅黑"/>
          <w:b/>
          <w:bCs/>
          <w:color w:val="auto"/>
          <w:spacing w:val="0"/>
          <w:w w:val="100"/>
          <w:kern w:val="0"/>
          <w:sz w:val="44"/>
          <w:szCs w:val="44"/>
          <w:lang w:val="en-US" w:eastAsia="zh-CN"/>
        </w:rPr>
        <w:t>技术文件</w:t>
      </w:r>
    </w:p>
    <w:bookmarkEnd w:id="0"/>
    <w:bookmarkEnd w:id="1"/>
    <w:bookmarkEnd w:id="2"/>
    <w:p>
      <w:pPr>
        <w:keepNext w:val="0"/>
        <w:keepLines w:val="0"/>
        <w:pageBreakBefore w:val="0"/>
        <w:widowControl w:val="0"/>
        <w:kinsoku/>
        <w:wordWrap/>
        <w:overflowPunct/>
        <w:topLinePunct w:val="0"/>
        <w:autoSpaceDE/>
        <w:autoSpaceDN/>
        <w:bidi w:val="0"/>
        <w:adjustRightInd w:val="0"/>
        <w:snapToGrid/>
        <w:spacing w:after="0"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pPr>
      <w:bookmarkStart w:id="3" w:name="_Toc532390443"/>
      <w:bookmarkStart w:id="4" w:name="_Toc60670987"/>
      <w:bookmarkStart w:id="5" w:name="_Toc532309909"/>
      <w:bookmarkStart w:id="6" w:name="_Toc532390142"/>
      <w:bookmarkStart w:id="7" w:name="_Toc29677770"/>
      <w:bookmarkStart w:id="8" w:name="_Toc29995437"/>
      <w:bookmarkStart w:id="9" w:name="_Toc60670777"/>
    </w:p>
    <w:p>
      <w:pPr>
        <w:keepNext w:val="0"/>
        <w:keepLines w:val="0"/>
        <w:pageBreakBefore w:val="0"/>
        <w:widowControl w:val="0"/>
        <w:kinsoku/>
        <w:wordWrap/>
        <w:overflowPunct/>
        <w:topLinePunct w:val="0"/>
        <w:autoSpaceDE/>
        <w:autoSpaceDN/>
        <w:bidi w:val="0"/>
        <w:adjustRightInd w:val="0"/>
        <w:snapToGrid/>
        <w:spacing w:line="240" w:lineRule="auto"/>
        <w:ind w:left="0" w:right="0"/>
        <w:jc w:val="center"/>
        <w:textAlignment w:val="auto"/>
        <w:outlineLvl w:val="9"/>
        <w:rPr>
          <w:rFonts w:hint="eastAsia" w:ascii="微软雅黑" w:hAnsi="微软雅黑" w:eastAsia="微软雅黑" w:cs="微软雅黑"/>
          <w:color w:val="auto"/>
          <w:spacing w:val="0"/>
          <w:w w:val="100"/>
          <w:sz w:val="52"/>
          <w:szCs w:val="52"/>
        </w:rPr>
        <w:sectPr>
          <w:footerReference r:id="rId3" w:type="default"/>
          <w:pgSz w:w="11906" w:h="16838"/>
          <w:pgMar w:top="1440" w:right="1800" w:bottom="1440" w:left="1576" w:header="851" w:footer="992" w:gutter="0"/>
          <w:pgNumType w:fmt="decimal"/>
          <w:cols w:space="720" w:num="1"/>
          <w:docGrid w:type="lines" w:linePitch="312" w:charSpace="0"/>
        </w:sectPr>
      </w:pPr>
      <w:r>
        <w:rPr>
          <w:rFonts w:hint="eastAsia" w:ascii="微软雅黑" w:hAnsi="微软雅黑" w:eastAsia="微软雅黑" w:cs="微软雅黑"/>
          <w:color w:val="auto"/>
          <w:spacing w:val="0"/>
          <w:w w:val="100"/>
          <w:sz w:val="32"/>
          <w:szCs w:val="32"/>
        </w:rPr>
        <w:t>2021年1</w:t>
      </w:r>
      <w:r>
        <w:rPr>
          <w:rFonts w:hint="eastAsia" w:ascii="微软雅黑" w:hAnsi="微软雅黑" w:eastAsia="微软雅黑" w:cs="微软雅黑"/>
          <w:color w:val="auto"/>
          <w:spacing w:val="0"/>
          <w:w w:val="100"/>
          <w:sz w:val="32"/>
          <w:szCs w:val="32"/>
          <w:lang w:val="en-US" w:eastAsia="zh-CN"/>
        </w:rPr>
        <w:t>0</w:t>
      </w:r>
      <w:r>
        <w:rPr>
          <w:rFonts w:hint="eastAsia" w:ascii="微软雅黑" w:hAnsi="微软雅黑" w:eastAsia="微软雅黑" w:cs="微软雅黑"/>
          <w:color w:val="auto"/>
          <w:spacing w:val="0"/>
          <w:w w:val="100"/>
          <w:sz w:val="32"/>
          <w:szCs w:val="32"/>
        </w:rPr>
        <w:t>月</w:t>
      </w:r>
      <w:bookmarkEnd w:id="3"/>
      <w:bookmarkEnd w:id="4"/>
      <w:bookmarkEnd w:id="5"/>
      <w:bookmarkEnd w:id="6"/>
      <w:bookmarkEnd w:id="7"/>
      <w:bookmarkEnd w:id="8"/>
      <w:bookmarkEnd w:id="9"/>
    </w:p>
    <w:sdt>
      <w:sdtPr>
        <w:rPr>
          <w:rFonts w:hint="eastAsia" w:ascii="微软雅黑" w:hAnsi="微软雅黑" w:eastAsia="微软雅黑" w:cs="微软雅黑"/>
          <w:b/>
          <w:bCs/>
          <w:kern w:val="2"/>
          <w:sz w:val="44"/>
          <w:szCs w:val="44"/>
          <w:lang w:val="en-US" w:eastAsia="zh-CN" w:bidi="ar-SA"/>
        </w:rPr>
        <w:id w:val="147454884"/>
        <w15:color w:val="DBDBDB"/>
        <w:docPartObj>
          <w:docPartGallery w:val="Table of Contents"/>
          <w:docPartUnique/>
        </w:docPartObj>
      </w:sdtPr>
      <w:sdtEndPr>
        <w:rPr>
          <w:rFonts w:hint="eastAsia" w:ascii="微软雅黑" w:hAnsi="微软雅黑" w:eastAsia="微软雅黑" w:cs="微软雅黑"/>
          <w:b/>
          <w:bCs/>
          <w:color w:val="auto"/>
          <w:spacing w:val="0"/>
          <w:w w:val="100"/>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目录</w:t>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
              <w:bCs/>
              <w:color w:val="auto"/>
              <w:spacing w:val="0"/>
              <w:w w:val="100"/>
              <w:sz w:val="28"/>
              <w:szCs w:val="28"/>
              <w:lang w:val="en-US" w:eastAsia="zh-CN"/>
            </w:rPr>
            <w:fldChar w:fldCharType="begin"/>
          </w:r>
          <w:r>
            <w:rPr>
              <w:rFonts w:hint="eastAsia" w:ascii="微软雅黑" w:hAnsi="微软雅黑" w:eastAsia="微软雅黑" w:cs="微软雅黑"/>
              <w:b/>
              <w:bCs/>
              <w:color w:val="auto"/>
              <w:spacing w:val="0"/>
              <w:w w:val="100"/>
              <w:sz w:val="28"/>
              <w:szCs w:val="28"/>
              <w:lang w:val="en-US" w:eastAsia="zh-CN"/>
            </w:rPr>
            <w:instrText xml:space="preserve">TOC \o "1-1" \h \u </w:instrText>
          </w:r>
          <w:r>
            <w:rPr>
              <w:rFonts w:hint="eastAsia" w:ascii="微软雅黑" w:hAnsi="微软雅黑" w:eastAsia="微软雅黑" w:cs="微软雅黑"/>
              <w:b/>
              <w:bCs/>
              <w:color w:val="auto"/>
              <w:spacing w:val="0"/>
              <w:w w:val="100"/>
              <w:sz w:val="28"/>
              <w:szCs w:val="28"/>
              <w:lang w:val="en-US" w:eastAsia="zh-CN"/>
            </w:rPr>
            <w:fldChar w:fldCharType="separate"/>
          </w: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_Toc19345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一、赛项名称</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_Toc19345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_Toc5297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二、竞赛目的</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_Toc5297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_Toc27429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rPr>
            <w:t>三、竞赛内容</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_Toc27429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_Toc31490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四</w:t>
          </w:r>
          <w:r>
            <w:rPr>
              <w:rFonts w:hint="eastAsia" w:ascii="微软雅黑" w:hAnsi="微软雅黑" w:eastAsia="微软雅黑" w:cs="微软雅黑"/>
              <w:bCs/>
              <w:spacing w:val="0"/>
              <w:w w:val="100"/>
              <w:sz w:val="28"/>
              <w:szCs w:val="28"/>
            </w:rPr>
            <w:t>、</w:t>
          </w:r>
          <w:r>
            <w:rPr>
              <w:rFonts w:hint="eastAsia" w:ascii="微软雅黑" w:hAnsi="微软雅黑" w:eastAsia="微软雅黑" w:cs="微软雅黑"/>
              <w:sz w:val="28"/>
              <w:szCs w:val="28"/>
            </w:rPr>
            <w:t>技术平台</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_Toc31490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_Toc22447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五、疫情防控要求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_Toc22447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7</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pStyle w:val="8"/>
            <w:tabs>
              <w:tab w:val="right" w:leader="dot" w:pos="8306"/>
            </w:tabs>
            <w:rPr>
              <w:rFonts w:hint="eastAsia" w:ascii="微软雅黑" w:hAnsi="微软雅黑" w:eastAsia="微软雅黑" w:cs="微软雅黑"/>
              <w:sz w:val="28"/>
              <w:szCs w:val="28"/>
            </w:rPr>
          </w:pPr>
          <w:r>
            <w:rPr>
              <w:rFonts w:hint="eastAsia" w:ascii="微软雅黑" w:hAnsi="微软雅黑" w:eastAsia="微软雅黑" w:cs="微软雅黑"/>
              <w:bCs/>
              <w:color w:val="auto"/>
              <w:spacing w:val="0"/>
              <w:w w:val="100"/>
              <w:sz w:val="28"/>
              <w:szCs w:val="28"/>
              <w:lang w:val="en-US" w:eastAsia="zh-CN"/>
            </w:rPr>
            <w:fldChar w:fldCharType="begin"/>
          </w:r>
          <w:r>
            <w:rPr>
              <w:rFonts w:hint="eastAsia" w:ascii="微软雅黑" w:hAnsi="微软雅黑" w:eastAsia="微软雅黑" w:cs="微软雅黑"/>
              <w:bCs/>
              <w:spacing w:val="0"/>
              <w:w w:val="100"/>
              <w:sz w:val="28"/>
              <w:szCs w:val="28"/>
              <w:lang w:val="en-US" w:eastAsia="zh-CN"/>
            </w:rPr>
            <w:instrText xml:space="preserve"> HYPERLINK \l _Toc2825 </w:instrText>
          </w:r>
          <w:r>
            <w:rPr>
              <w:rFonts w:hint="eastAsia" w:ascii="微软雅黑" w:hAnsi="微软雅黑" w:eastAsia="微软雅黑" w:cs="微软雅黑"/>
              <w:bCs/>
              <w:spacing w:val="0"/>
              <w:w w:val="100"/>
              <w:sz w:val="28"/>
              <w:szCs w:val="28"/>
              <w:lang w:val="en-US" w:eastAsia="zh-CN"/>
            </w:rPr>
            <w:fldChar w:fldCharType="separate"/>
          </w:r>
          <w:r>
            <w:rPr>
              <w:rFonts w:hint="eastAsia" w:ascii="微软雅黑" w:hAnsi="微软雅黑" w:eastAsia="微软雅黑" w:cs="微软雅黑"/>
              <w:bCs/>
              <w:spacing w:val="0"/>
              <w:w w:val="100"/>
              <w:sz w:val="28"/>
              <w:szCs w:val="28"/>
              <w:lang w:val="en-US" w:eastAsia="zh-CN"/>
            </w:rPr>
            <w:t>六</w:t>
          </w:r>
          <w:r>
            <w:rPr>
              <w:rFonts w:hint="eastAsia" w:ascii="微软雅黑" w:hAnsi="微软雅黑" w:eastAsia="微软雅黑" w:cs="微软雅黑"/>
              <w:bCs/>
              <w:spacing w:val="0"/>
              <w:w w:val="100"/>
              <w:sz w:val="28"/>
              <w:szCs w:val="28"/>
            </w:rPr>
            <w:t>、技术支持单位联系方式</w:t>
          </w:r>
          <w:bookmarkStart w:id="20" w:name="_GoBack"/>
          <w:bookmarkEnd w:id="20"/>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_Toc2825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7</w:t>
          </w:r>
          <w:r>
            <w:rPr>
              <w:rFonts w:hint="eastAsia" w:ascii="微软雅黑" w:hAnsi="微软雅黑" w:eastAsia="微软雅黑" w:cs="微软雅黑"/>
              <w:sz w:val="28"/>
              <w:szCs w:val="28"/>
            </w:rPr>
            <w:fldChar w:fldCharType="end"/>
          </w:r>
          <w:r>
            <w:rPr>
              <w:rFonts w:hint="eastAsia" w:ascii="微软雅黑" w:hAnsi="微软雅黑" w:eastAsia="微软雅黑" w:cs="微软雅黑"/>
              <w:bCs/>
              <w:color w:val="auto"/>
              <w:spacing w:val="0"/>
              <w:w w:val="100"/>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val="0"/>
            <w:snapToGrid/>
            <w:spacing w:line="240" w:lineRule="auto"/>
            <w:ind w:left="0" w:right="0"/>
            <w:jc w:val="both"/>
            <w:textAlignment w:val="auto"/>
            <w:outlineLvl w:val="9"/>
            <w:rPr>
              <w:rFonts w:hint="eastAsia" w:ascii="微软雅黑" w:hAnsi="微软雅黑" w:eastAsia="微软雅黑" w:cs="微软雅黑"/>
              <w:b/>
              <w:bCs/>
              <w:color w:val="auto"/>
              <w:spacing w:val="0"/>
              <w:w w:val="100"/>
              <w:sz w:val="44"/>
              <w:szCs w:val="44"/>
              <w:lang w:val="en-US" w:eastAsia="zh-CN"/>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bCs/>
              <w:color w:val="auto"/>
              <w:spacing w:val="0"/>
              <w:w w:val="100"/>
              <w:sz w:val="28"/>
              <w:szCs w:val="28"/>
              <w:lang w:val="en-US" w:eastAsia="zh-CN"/>
            </w:rPr>
            <w:fldChar w:fldCharType="end"/>
          </w:r>
        </w:p>
      </w:sdtContent>
    </w:sdt>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0" w:name="_Toc19345"/>
      <w:r>
        <w:rPr>
          <w:rFonts w:hint="eastAsia" w:ascii="微软雅黑" w:hAnsi="微软雅黑" w:eastAsia="微软雅黑" w:cs="微软雅黑"/>
          <w:b/>
          <w:bCs/>
          <w:color w:val="auto"/>
          <w:spacing w:val="0"/>
          <w:w w:val="100"/>
          <w:sz w:val="32"/>
          <w:szCs w:val="32"/>
        </w:rPr>
        <w:t>一、赛项名称</w:t>
      </w:r>
      <w:bookmarkEnd w:id="10"/>
    </w:p>
    <w:p>
      <w:pPr>
        <w:pStyle w:val="5"/>
        <w:keepNext w:val="0"/>
        <w:keepLines w:val="0"/>
        <w:pageBreakBefore w:val="0"/>
        <w:widowControl w:val="0"/>
        <w:kinsoku/>
        <w:wordWrap/>
        <w:overflowPunct/>
        <w:topLinePunct w:val="0"/>
        <w:autoSpaceDE/>
        <w:autoSpaceDN/>
        <w:bidi w:val="0"/>
        <w:adjustRightInd w:val="0"/>
        <w:snapToGrid/>
        <w:spacing w:before="313" w:beforeLines="100" w:after="313" w:afterLines="100" w:line="240" w:lineRule="auto"/>
        <w:ind w:left="0" w:right="0"/>
        <w:jc w:val="center"/>
        <w:textAlignment w:val="auto"/>
        <w:outlineLvl w:val="9"/>
        <w:rPr>
          <w:rFonts w:hint="eastAsia" w:ascii="微软雅黑" w:hAnsi="微软雅黑" w:eastAsia="微软雅黑" w:cs="微软雅黑"/>
          <w:b/>
          <w:bCs/>
          <w:color w:val="auto"/>
          <w:spacing w:val="-20"/>
          <w:w w:val="100"/>
          <w:sz w:val="32"/>
          <w:szCs w:val="32"/>
        </w:rPr>
      </w:pPr>
      <w:r>
        <w:rPr>
          <w:rFonts w:hint="eastAsia" w:ascii="微软雅黑" w:hAnsi="微软雅黑" w:eastAsia="微软雅黑" w:cs="微软雅黑"/>
          <w:b/>
          <w:bCs/>
          <w:color w:val="auto"/>
          <w:spacing w:val="-11"/>
          <w:w w:val="100"/>
          <w:sz w:val="32"/>
          <w:szCs w:val="32"/>
        </w:rPr>
        <w:t>赛项名称：计算机维修工（智能电子产品检测维修与数据恢复）</w:t>
      </w:r>
    </w:p>
    <w:p>
      <w:pPr>
        <w:pStyle w:val="5"/>
        <w:keepNext w:val="0"/>
        <w:keepLines w:val="0"/>
        <w:pageBreakBefore w:val="0"/>
        <w:widowControl w:val="0"/>
        <w:kinsoku/>
        <w:wordWrap/>
        <w:overflowPunct/>
        <w:topLinePunct w:val="0"/>
        <w:autoSpaceDE/>
        <w:autoSpaceDN/>
        <w:bidi w:val="0"/>
        <w:adjustRightInd w:val="0"/>
        <w:snapToGrid/>
        <w:spacing w:before="313" w:beforeLines="100" w:after="313" w:afterLines="100" w:line="240" w:lineRule="auto"/>
        <w:ind w:left="0" w:right="0"/>
        <w:jc w:val="center"/>
        <w:textAlignment w:val="auto"/>
        <w:outlineLvl w:val="9"/>
        <w:rPr>
          <w:rFonts w:hint="eastAsia" w:ascii="微软雅黑" w:hAnsi="微软雅黑" w:eastAsia="微软雅黑" w:cs="微软雅黑"/>
          <w:b/>
          <w:bCs/>
          <w:color w:val="auto"/>
          <w:spacing w:val="0"/>
          <w:w w:val="100"/>
          <w:sz w:val="32"/>
          <w:szCs w:val="32"/>
        </w:rPr>
      </w:pPr>
      <w:r>
        <w:rPr>
          <w:rFonts w:hint="eastAsia" w:ascii="微软雅黑" w:hAnsi="微软雅黑" w:eastAsia="微软雅黑" w:cs="微软雅黑"/>
          <w:b/>
          <w:bCs/>
          <w:color w:val="auto"/>
          <w:spacing w:val="0"/>
          <w:w w:val="100"/>
          <w:sz w:val="32"/>
          <w:szCs w:val="32"/>
        </w:rPr>
        <w:t>赛项归属产业：新一代信息技术</w:t>
      </w:r>
    </w:p>
    <w:p>
      <w:pPr>
        <w:pStyle w:val="5"/>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color w:val="auto"/>
          <w:spacing w:val="0"/>
          <w:w w:val="100"/>
          <w:sz w:val="28"/>
          <w:szCs w:val="28"/>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1" w:name="二、竞赛目的 "/>
      <w:bookmarkEnd w:id="11"/>
      <w:bookmarkStart w:id="12" w:name="_Toc5297"/>
      <w:r>
        <w:rPr>
          <w:rFonts w:hint="eastAsia" w:ascii="微软雅黑" w:hAnsi="微软雅黑" w:eastAsia="微软雅黑" w:cs="微软雅黑"/>
          <w:b/>
          <w:bCs/>
          <w:color w:val="auto"/>
          <w:spacing w:val="0"/>
          <w:w w:val="100"/>
          <w:sz w:val="32"/>
          <w:szCs w:val="32"/>
        </w:rPr>
        <w:t>二、竞赛目的</w:t>
      </w:r>
      <w:bookmarkEnd w:id="12"/>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微软雅黑" w:hAnsi="微软雅黑" w:eastAsia="微软雅黑" w:cs="微软雅黑"/>
          <w:color w:val="auto"/>
          <w:spacing w:val="0"/>
          <w:w w:val="100"/>
          <w:sz w:val="28"/>
          <w:szCs w:val="28"/>
        </w:rPr>
      </w:pPr>
      <w:bookmarkStart w:id="13" w:name="三、竞赛内容 "/>
      <w:bookmarkEnd w:id="13"/>
      <w:r>
        <w:rPr>
          <w:rFonts w:hint="eastAsia" w:ascii="微软雅黑" w:hAnsi="微软雅黑" w:eastAsia="微软雅黑" w:cs="微软雅黑"/>
          <w:color w:val="auto"/>
          <w:spacing w:val="0"/>
          <w:w w:val="100"/>
          <w:sz w:val="28"/>
          <w:szCs w:val="28"/>
        </w:rPr>
        <w:t>本次竞赛参照劳动和社会保障部办公厅2008年修订颁发的《计算机（微机）维修工国家职业标准》（劳社厅发[2008]5号），《国家职业标准汇编（第五分册）—计算机（微机）维修工国家职业标准（2008年修订）》人力资源和社会保障部职业能力建设司编，中国劳动社会保障出版社出版，2011年9月）的国家职业标准当中高级(国家职业资格三级)的相关要求制定竞赛内容，完成竞赛命题工作。</w:t>
      </w: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b/>
          <w:bCs/>
          <w:color w:val="auto"/>
          <w:spacing w:val="0"/>
          <w:w w:val="100"/>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4" w:name="_Toc27429"/>
      <w:r>
        <w:rPr>
          <w:rFonts w:hint="eastAsia" w:ascii="微软雅黑" w:hAnsi="微软雅黑" w:eastAsia="微软雅黑" w:cs="微软雅黑"/>
          <w:b/>
          <w:bCs/>
          <w:color w:val="auto"/>
          <w:spacing w:val="0"/>
          <w:w w:val="100"/>
          <w:sz w:val="32"/>
          <w:szCs w:val="32"/>
        </w:rPr>
        <w:t>三、竞赛内容</w:t>
      </w:r>
      <w:bookmarkEnd w:id="14"/>
    </w:p>
    <w:p>
      <w:pPr>
        <w:pageBreakBefore w:val="0"/>
        <w:widowControl w:val="0"/>
        <w:kinsoku/>
        <w:wordWrap/>
        <w:overflowPunct/>
        <w:topLinePunct w:val="0"/>
        <w:autoSpaceDE/>
        <w:autoSpaceDN/>
        <w:bidi w:val="0"/>
        <w:adjustRightInd w:val="0"/>
        <w:snapToGrid w:val="0"/>
        <w:spacing w:line="240" w:lineRule="auto"/>
        <w:ind w:left="0"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本次竞赛主要考核参赛选手以下知识和技能：</w:t>
      </w:r>
    </w:p>
    <w:p>
      <w:pPr>
        <w:pStyle w:val="13"/>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计算机系统的基本原理，计算机软硬件基础知识，计算机多媒体、网络和安全相关的基础知识；</w:t>
      </w:r>
    </w:p>
    <w:p>
      <w:pPr>
        <w:pStyle w:val="13"/>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计算机系统的部件组成认知、选择、组装、配置、调试与检验技能；</w:t>
      </w:r>
    </w:p>
    <w:p>
      <w:pPr>
        <w:pStyle w:val="13"/>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计算机系统的日常维护与故障分析、判断和处理技能；</w:t>
      </w:r>
    </w:p>
    <w:p>
      <w:pPr>
        <w:pStyle w:val="13"/>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计算机系统（包括主板、配件以及周边设备）的板卡级与芯片级维修；</w:t>
      </w:r>
    </w:p>
    <w:p>
      <w:pPr>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5）</w:t>
      </w:r>
      <w:r>
        <w:rPr>
          <w:rFonts w:hint="eastAsia" w:ascii="微软雅黑" w:hAnsi="微软雅黑" w:eastAsia="微软雅黑" w:cs="微软雅黑"/>
          <w:sz w:val="28"/>
          <w:szCs w:val="28"/>
        </w:rPr>
        <w:t>计算机系统的存储介质数据备份与数据恢复技能。</w:t>
      </w:r>
    </w:p>
    <w:p>
      <w:pPr>
        <w:pageBreakBefore w:val="0"/>
        <w:widowControl w:val="0"/>
        <w:kinsoku/>
        <w:wordWrap/>
        <w:overflowPunct/>
        <w:topLinePunct w:val="0"/>
        <w:autoSpaceDE/>
        <w:autoSpaceDN/>
        <w:bidi w:val="0"/>
        <w:adjustRightInd w:val="0"/>
        <w:snapToGrid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本次竞赛包括以下考核模块：</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3205"/>
        <w:gridCol w:w="1113"/>
        <w:gridCol w:w="1132"/>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考核模块名称</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考核内容</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考核形式</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考核时长</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相关性权重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理论考核</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按照职业标准高级工的相关理论知识进行理论知识考核</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机考答题</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20分钟</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计算机系统安装调试与故障处理</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对计算机系统进行系统软硬件安装调试，并进行故障排查和系统维护工作</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实操</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40分钟</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计算机系统板级维修及芯片级维修</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对计算机系统的各个设备进行板级和芯片级维修</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实操</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150分钟</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存储介质数据备份与恢复</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对计算机系统的数据进行备份，对损害的存储介质进行数据恢复</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实操</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150分钟</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 职业素养</w:t>
            </w:r>
          </w:p>
        </w:tc>
        <w:tc>
          <w:tcPr>
            <w:tcW w:w="3306"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对竞赛过程中选手的职业技能行为习惯进行综合测评</w:t>
            </w:r>
          </w:p>
        </w:tc>
        <w:tc>
          <w:tcPr>
            <w:tcW w:w="1139"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实操</w:t>
            </w:r>
          </w:p>
        </w:tc>
        <w:tc>
          <w:tcPr>
            <w:tcW w:w="1152"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过程考核</w:t>
            </w:r>
          </w:p>
        </w:tc>
        <w:tc>
          <w:tcPr>
            <w:tcW w:w="1093" w:type="dxa"/>
            <w:vAlign w:val="center"/>
          </w:tcPr>
          <w:p>
            <w:pPr>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r>
    </w:tbl>
    <w:p>
      <w:pPr>
        <w:outlineLvl w:val="9"/>
        <w:rPr>
          <w:rFonts w:hint="eastAsia" w:ascii="微软雅黑" w:hAnsi="微软雅黑" w:eastAsia="微软雅黑" w:cs="微软雅黑"/>
          <w:b/>
          <w:bCs/>
          <w:sz w:val="32"/>
          <w:szCs w:val="32"/>
          <w:lang w:val="en-US" w:eastAsia="zh-CN"/>
        </w:rPr>
      </w:pPr>
      <w:bookmarkStart w:id="15" w:name="四、竞赛方式 "/>
      <w:bookmarkEnd w:id="15"/>
    </w:p>
    <w:p>
      <w:pPr>
        <w:outlineLvl w:val="9"/>
        <w:rPr>
          <w:rFonts w:hint="eastAsia" w:ascii="微软雅黑" w:hAnsi="微软雅黑" w:eastAsia="微软雅黑" w:cs="微软雅黑"/>
          <w:b/>
          <w:bCs/>
          <w:color w:val="auto"/>
          <w:spacing w:val="0"/>
          <w:w w:val="100"/>
          <w:sz w:val="32"/>
          <w:szCs w:val="32"/>
        </w:rPr>
      </w:pPr>
      <w:r>
        <w:rPr>
          <w:rFonts w:hint="eastAsia" w:ascii="微软雅黑" w:hAnsi="微软雅黑" w:eastAsia="微软雅黑" w:cs="微软雅黑"/>
          <w:b/>
          <w:bCs/>
          <w:color w:val="auto"/>
          <w:spacing w:val="0"/>
          <w:w w:val="100"/>
          <w:sz w:val="32"/>
          <w:szCs w:val="32"/>
        </w:rPr>
        <w:br w:type="page"/>
      </w:r>
    </w:p>
    <w:p>
      <w:pPr>
        <w:pStyle w:val="2"/>
        <w:pageBreakBefore w:val="0"/>
        <w:widowControl w:val="0"/>
        <w:kinsoku/>
        <w:wordWrap/>
        <w:overflowPunct/>
        <w:topLinePunct w:val="0"/>
        <w:autoSpaceDE/>
        <w:autoSpaceDN/>
        <w:bidi w:val="0"/>
        <w:snapToGrid w:val="0"/>
        <w:spacing w:before="0" w:after="0" w:line="240" w:lineRule="auto"/>
        <w:ind w:left="0" w:leftChars="0" w:firstLine="0" w:firstLineChars="0"/>
        <w:contextualSpacing/>
        <w:jc w:val="left"/>
        <w:textAlignment w:val="auto"/>
        <w:outlineLvl w:val="0"/>
        <w:rPr>
          <w:rFonts w:hint="eastAsia" w:ascii="微软雅黑" w:hAnsi="微软雅黑" w:eastAsia="微软雅黑" w:cs="微软雅黑"/>
          <w:sz w:val="32"/>
          <w:szCs w:val="32"/>
        </w:rPr>
      </w:pPr>
      <w:bookmarkStart w:id="16" w:name="_Toc31490"/>
      <w:r>
        <w:rPr>
          <w:rFonts w:hint="eastAsia" w:ascii="微软雅黑" w:hAnsi="微软雅黑" w:eastAsia="微软雅黑" w:cs="微软雅黑"/>
          <w:b/>
          <w:bCs/>
          <w:color w:val="auto"/>
          <w:spacing w:val="0"/>
          <w:w w:val="100"/>
          <w:sz w:val="32"/>
          <w:szCs w:val="32"/>
          <w:lang w:val="en-US" w:eastAsia="zh-CN"/>
        </w:rPr>
        <w:t>四</w:t>
      </w:r>
      <w:r>
        <w:rPr>
          <w:rFonts w:hint="eastAsia" w:ascii="微软雅黑" w:hAnsi="微软雅黑" w:eastAsia="微软雅黑" w:cs="微软雅黑"/>
          <w:b/>
          <w:bCs/>
          <w:color w:val="auto"/>
          <w:spacing w:val="0"/>
          <w:w w:val="100"/>
          <w:sz w:val="32"/>
          <w:szCs w:val="32"/>
        </w:rPr>
        <w:t>、</w:t>
      </w:r>
      <w:r>
        <w:rPr>
          <w:rFonts w:hint="eastAsia" w:ascii="微软雅黑" w:hAnsi="微软雅黑" w:eastAsia="微软雅黑" w:cs="微软雅黑"/>
          <w:sz w:val="32"/>
          <w:szCs w:val="32"/>
        </w:rPr>
        <w:t>技术平台</w:t>
      </w:r>
      <w:bookmarkEnd w:id="16"/>
    </w:p>
    <w:p>
      <w:pPr>
        <w:pageBreakBefore w:val="0"/>
        <w:widowControl w:val="0"/>
        <w:kinsoku/>
        <w:wordWrap/>
        <w:overflowPunct/>
        <w:topLinePunct w:val="0"/>
        <w:autoSpaceDE/>
        <w:autoSpaceDN/>
        <w:bidi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（一）比赛器材及具体要求说明</w:t>
      </w:r>
    </w:p>
    <w:tbl>
      <w:tblPr>
        <w:tblStyle w:val="9"/>
        <w:tblW w:w="5000" w:type="pct"/>
        <w:jc w:val="center"/>
        <w:tblLayout w:type="autofit"/>
        <w:tblCellMar>
          <w:top w:w="0" w:type="dxa"/>
          <w:left w:w="108" w:type="dxa"/>
          <w:bottom w:w="0" w:type="dxa"/>
          <w:right w:w="108" w:type="dxa"/>
        </w:tblCellMar>
      </w:tblPr>
      <w:tblGrid>
        <w:gridCol w:w="780"/>
        <w:gridCol w:w="2044"/>
        <w:gridCol w:w="5698"/>
      </w:tblGrid>
      <w:tr>
        <w:tblPrEx>
          <w:tblCellMar>
            <w:top w:w="0" w:type="dxa"/>
            <w:left w:w="108" w:type="dxa"/>
            <w:bottom w:w="0" w:type="dxa"/>
            <w:right w:w="108" w:type="dxa"/>
          </w:tblCellMar>
        </w:tblPrEx>
        <w:trPr>
          <w:trHeight w:val="456"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仪器设备</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规格说明</w:t>
            </w:r>
          </w:p>
        </w:tc>
      </w:tr>
      <w:tr>
        <w:tblPrEx>
          <w:tblCellMar>
            <w:top w:w="0" w:type="dxa"/>
            <w:left w:w="108" w:type="dxa"/>
            <w:bottom w:w="0" w:type="dxa"/>
            <w:right w:w="108" w:type="dxa"/>
          </w:tblCellMar>
        </w:tblPrEx>
        <w:trPr>
          <w:trHeight w:val="617"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199"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维修工作台</w:t>
            </w:r>
          </w:p>
        </w:tc>
        <w:tc>
          <w:tcPr>
            <w:tcW w:w="3343"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防静电维修工作台，钢木结构，尺寸1800mm（高）*850mm（深）*1500mm（宽）；</w:t>
            </w:r>
          </w:p>
        </w:tc>
      </w:tr>
      <w:tr>
        <w:tblPrEx>
          <w:tblCellMar>
            <w:top w:w="0" w:type="dxa"/>
            <w:left w:w="108" w:type="dxa"/>
            <w:bottom w:w="0" w:type="dxa"/>
            <w:right w:w="108" w:type="dxa"/>
          </w:tblCellMar>
        </w:tblPrEx>
        <w:trPr>
          <w:trHeight w:val="617"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199"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数字万用表</w:t>
            </w:r>
          </w:p>
        </w:tc>
        <w:tc>
          <w:tcPr>
            <w:tcW w:w="3343"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交流电压750V±(0.8%+3)，直流电流10A±(0.8%+1)，直流电压1000V±(0.5%+1)，交流电流10A±(1%+3)，电阻40MW±(0.8%+1)，电容10mF±(4%+3)</w:t>
            </w:r>
          </w:p>
        </w:tc>
      </w:tr>
      <w:tr>
        <w:tblPrEx>
          <w:tblCellMar>
            <w:top w:w="0" w:type="dxa"/>
            <w:left w:w="108" w:type="dxa"/>
            <w:bottom w:w="0" w:type="dxa"/>
            <w:right w:w="108" w:type="dxa"/>
          </w:tblCellMar>
        </w:tblPrEx>
        <w:trPr>
          <w:trHeight w:val="421"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199"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数字示波器</w:t>
            </w:r>
          </w:p>
        </w:tc>
        <w:tc>
          <w:tcPr>
            <w:tcW w:w="3343"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100MHz以上双通道示波器</w:t>
            </w:r>
          </w:p>
        </w:tc>
      </w:tr>
      <w:tr>
        <w:tblPrEx>
          <w:tblCellMar>
            <w:top w:w="0" w:type="dxa"/>
            <w:left w:w="108" w:type="dxa"/>
            <w:bottom w:w="0" w:type="dxa"/>
            <w:right w:w="108" w:type="dxa"/>
          </w:tblCellMar>
        </w:tblPrEx>
        <w:trPr>
          <w:trHeight w:val="412"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199"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恒温烙铁</w:t>
            </w:r>
          </w:p>
        </w:tc>
        <w:tc>
          <w:tcPr>
            <w:tcW w:w="3343"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温度调节范围 150-450（℃）</w:t>
            </w:r>
          </w:p>
        </w:tc>
      </w:tr>
      <w:tr>
        <w:tblPrEx>
          <w:tblCellMar>
            <w:top w:w="0" w:type="dxa"/>
            <w:left w:w="108" w:type="dxa"/>
            <w:bottom w:w="0" w:type="dxa"/>
            <w:right w:w="108" w:type="dxa"/>
          </w:tblCellMar>
        </w:tblPrEx>
        <w:trPr>
          <w:trHeight w:val="419"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热风焊台</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温度调节范围：100～480℃</w:t>
            </w:r>
          </w:p>
        </w:tc>
      </w:tr>
      <w:tr>
        <w:tblPrEx>
          <w:tblCellMar>
            <w:top w:w="0" w:type="dxa"/>
            <w:left w:w="108" w:type="dxa"/>
            <w:bottom w:w="0" w:type="dxa"/>
            <w:right w:w="108" w:type="dxa"/>
          </w:tblCellMar>
        </w:tblPrEx>
        <w:trPr>
          <w:trHeight w:val="617"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199"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直流稳压电源</w:t>
            </w:r>
          </w:p>
        </w:tc>
        <w:tc>
          <w:tcPr>
            <w:tcW w:w="3343"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I路以上0-30 V可变电压输出</w:t>
            </w:r>
          </w:p>
        </w:tc>
      </w:tr>
      <w:tr>
        <w:tblPrEx>
          <w:tblCellMar>
            <w:top w:w="0" w:type="dxa"/>
            <w:left w:w="108" w:type="dxa"/>
            <w:bottom w:w="0" w:type="dxa"/>
            <w:right w:w="108" w:type="dxa"/>
          </w:tblCellMar>
        </w:tblPrEx>
        <w:trPr>
          <w:trHeight w:val="617"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放大镜台灯</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高强照明、五倍放大功能</w:t>
            </w:r>
          </w:p>
        </w:tc>
      </w:tr>
      <w:tr>
        <w:tblPrEx>
          <w:tblCellMar>
            <w:top w:w="0" w:type="dxa"/>
            <w:left w:w="108" w:type="dxa"/>
            <w:bottom w:w="0" w:type="dxa"/>
            <w:right w:w="108" w:type="dxa"/>
          </w:tblCellMar>
        </w:tblPrEx>
        <w:trPr>
          <w:trHeight w:val="861"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工具盒（含工具）</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内含螺丝刀套件、毛刷、洗板水壶、吸锡枪、尖嘴钳、偏口钳、焊锡丝、防静电镊子</w:t>
            </w:r>
          </w:p>
        </w:tc>
      </w:tr>
      <w:tr>
        <w:tblPrEx>
          <w:tblCellMar>
            <w:top w:w="0" w:type="dxa"/>
            <w:left w:w="108" w:type="dxa"/>
            <w:bottom w:w="0" w:type="dxa"/>
            <w:right w:w="108" w:type="dxa"/>
          </w:tblCellMar>
        </w:tblPrEx>
        <w:trPr>
          <w:trHeight w:val="617"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电脑主机</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主频1GHz或以上CPU，1GB或以上内存，安装Win7 64位操作系统。</w:t>
            </w:r>
          </w:p>
        </w:tc>
      </w:tr>
      <w:tr>
        <w:tblPrEx>
          <w:tblCellMar>
            <w:top w:w="0" w:type="dxa"/>
            <w:left w:w="108" w:type="dxa"/>
            <w:bottom w:w="0" w:type="dxa"/>
            <w:right w:w="108" w:type="dxa"/>
          </w:tblCellMar>
        </w:tblPrEx>
        <w:trPr>
          <w:trHeight w:val="617"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电脑配件</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ind w:left="0" w:firstLine="480" w:firstLineChars="20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CPU、内存、电源等</w:t>
            </w:r>
          </w:p>
        </w:tc>
      </w:tr>
      <w:tr>
        <w:tblPrEx>
          <w:tblCellMar>
            <w:top w:w="0" w:type="dxa"/>
            <w:left w:w="108" w:type="dxa"/>
            <w:bottom w:w="0" w:type="dxa"/>
            <w:right w:w="108" w:type="dxa"/>
          </w:tblCellMar>
        </w:tblPrEx>
        <w:trPr>
          <w:trHeight w:val="617"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199"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Cs/>
                <w:sz w:val="24"/>
                <w:szCs w:val="24"/>
              </w:rPr>
              <w:t>数据恢复平台</w:t>
            </w:r>
          </w:p>
        </w:tc>
        <w:tc>
          <w:tcPr>
            <w:tcW w:w="3343"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1、设备须为一体设计结构，集成度高，方便学生使用；</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2、设备含有液晶显示屏、键盘、鼠标；</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3、提供2个SATA接口和2个USB接口；</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4、支持IDE、SATA、USB、ESATA等硬盘接口；</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5、设备支持快速打开分区，对于文件系统参数错误的分区可以直接打开并快速提取数据；</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6、在扫描上分为简单、完全和快速三种扫描方式。并且支持各文件系统的RAW扫描方式。设备能够进行硬盘逻辑故障数据恢复实训，能够进行文件及分区的逻辑性数据销毁的实训；</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7、支持多种文件系统恢复，其中包含FAT\EXFAT\NTFS\EXT2\3\4\UFS\HFS等文件系统；</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9、程序对系统盘采用只读模式和分区放行模式，可防止对系统盘进行误操作， 但可以在分区中写入文件。</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10、可解析硬盘的专用指令集和Firmware（固件），从而实现通过对硬盘内部参数模块读写和硬盘程序模块的调用达到恢复、修复硬盘故障的目的。</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11、支持对硬盘实现独立的电源控制，以更安全、更方便、更快捷的方式处理故障。</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12、支持对硬盘逻辑及物理坏道检测、错误容量的修复、逻辑锁故障清除以及硬盘密码检测清除等。</w:t>
            </w:r>
          </w:p>
        </w:tc>
      </w:tr>
    </w:tbl>
    <w:p>
      <w:pPr>
        <w:pageBreakBefore w:val="0"/>
        <w:widowControl w:val="0"/>
        <w:kinsoku/>
        <w:wordWrap/>
        <w:overflowPunct/>
        <w:topLinePunct w:val="0"/>
        <w:autoSpaceDE/>
        <w:autoSpaceDN/>
        <w:bidi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（二）比赛赛题物料及具体要求说明</w:t>
      </w:r>
    </w:p>
    <w:tbl>
      <w:tblPr>
        <w:tblStyle w:val="9"/>
        <w:tblW w:w="5000" w:type="pct"/>
        <w:jc w:val="center"/>
        <w:tblLayout w:type="autofit"/>
        <w:tblCellMar>
          <w:top w:w="0" w:type="dxa"/>
          <w:left w:w="108" w:type="dxa"/>
          <w:bottom w:w="0" w:type="dxa"/>
          <w:right w:w="108" w:type="dxa"/>
        </w:tblCellMar>
      </w:tblPr>
      <w:tblGrid>
        <w:gridCol w:w="780"/>
        <w:gridCol w:w="2167"/>
        <w:gridCol w:w="5575"/>
      </w:tblGrid>
      <w:tr>
        <w:tblPrEx>
          <w:tblCellMar>
            <w:top w:w="0" w:type="dxa"/>
            <w:left w:w="108" w:type="dxa"/>
            <w:bottom w:w="0" w:type="dxa"/>
            <w:right w:w="108" w:type="dxa"/>
          </w:tblCellMar>
        </w:tblPrEx>
        <w:trPr>
          <w:trHeight w:val="456"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赛题物料名称</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规格说明</w:t>
            </w:r>
          </w:p>
        </w:tc>
      </w:tr>
      <w:tr>
        <w:tblPrEx>
          <w:tblCellMar>
            <w:top w:w="0" w:type="dxa"/>
            <w:left w:w="108" w:type="dxa"/>
            <w:bottom w:w="0" w:type="dxa"/>
            <w:right w:w="108" w:type="dxa"/>
          </w:tblCellMar>
        </w:tblPrEx>
        <w:trPr>
          <w:trHeight w:val="510"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71"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存储介质一(A)</w:t>
            </w:r>
          </w:p>
        </w:tc>
        <w:tc>
          <w:tcPr>
            <w:tcW w:w="3270"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120GB固态硬盘（SSD SATA接口），含故障待修复</w:t>
            </w:r>
          </w:p>
        </w:tc>
      </w:tr>
      <w:tr>
        <w:tblPrEx>
          <w:tblCellMar>
            <w:top w:w="0" w:type="dxa"/>
            <w:left w:w="108" w:type="dxa"/>
            <w:bottom w:w="0" w:type="dxa"/>
            <w:right w:w="108" w:type="dxa"/>
          </w:tblCellMar>
        </w:tblPrEx>
        <w:trPr>
          <w:trHeight w:val="510"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71"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存储介质二(B)</w:t>
            </w:r>
          </w:p>
        </w:tc>
        <w:tc>
          <w:tcPr>
            <w:tcW w:w="3270"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16G U盘，USB2.0接口，含故障待修复</w:t>
            </w:r>
          </w:p>
        </w:tc>
      </w:tr>
      <w:tr>
        <w:tblPrEx>
          <w:tblCellMar>
            <w:top w:w="0" w:type="dxa"/>
            <w:left w:w="108" w:type="dxa"/>
            <w:bottom w:w="0" w:type="dxa"/>
            <w:right w:w="108" w:type="dxa"/>
          </w:tblCellMar>
        </w:tblPrEx>
        <w:trPr>
          <w:trHeight w:val="510"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71"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存储介质三(C)</w:t>
            </w:r>
          </w:p>
        </w:tc>
        <w:tc>
          <w:tcPr>
            <w:tcW w:w="3270"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500G机械硬盘（2.5寸笔记本，SATA口），含故障待修复</w:t>
            </w:r>
          </w:p>
        </w:tc>
      </w:tr>
      <w:tr>
        <w:tblPrEx>
          <w:tblCellMar>
            <w:top w:w="0" w:type="dxa"/>
            <w:left w:w="108" w:type="dxa"/>
            <w:bottom w:w="0" w:type="dxa"/>
            <w:right w:w="108" w:type="dxa"/>
          </w:tblCellMar>
        </w:tblPrEx>
        <w:trPr>
          <w:trHeight w:val="510" w:hRule="atLeast"/>
          <w:jc w:val="center"/>
        </w:trPr>
        <w:tc>
          <w:tcPr>
            <w:tcW w:w="458" w:type="pct"/>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71"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存储介质四(D)</w:t>
            </w:r>
          </w:p>
        </w:tc>
        <w:tc>
          <w:tcPr>
            <w:tcW w:w="3270" w:type="pct"/>
            <w:tcBorders>
              <w:top w:val="nil"/>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1T机械硬盘（3.5寸台式机，SATA接口），含故障待修复</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存储介质五(E)</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120GB固态硬盘 (SSD M.2接口，SATA总线) ，含故障待修复</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M.2转SATA接口转接卡</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将M.2接口SATA SSD硬盘转换为SATA电源数据接口的专家卡，符合2.5寸SATA硬盘机械和电气接口规范要求</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1271"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“修复机”空机箱</w:t>
            </w:r>
          </w:p>
        </w:tc>
        <w:tc>
          <w:tcPr>
            <w:tcW w:w="3270"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能够用于重新组装和检测被修复“故障机”用的空机箱</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“故障机”</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PC主机，包括完整的主板、电源、CPU、风扇、内存、硬盘、显示器、鼠标、键盘等配件</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系统恢复U盘</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能够用于恢复安装操作系统的U盘，4G以上，USB2.0接口以上，内部已准备好系统恢复安装所需要的全部文件和引导程序</w:t>
            </w:r>
          </w:p>
        </w:tc>
      </w:tr>
      <w:tr>
        <w:tblPrEx>
          <w:tblCellMar>
            <w:top w:w="0" w:type="dxa"/>
            <w:left w:w="108" w:type="dxa"/>
            <w:bottom w:w="0" w:type="dxa"/>
            <w:right w:w="108" w:type="dxa"/>
          </w:tblCellMar>
        </w:tblPrEx>
        <w:trPr>
          <w:trHeight w:val="510"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电路功能板</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不少于25种计算机功能模块分解板卡，已设置故障，符合现场参数抽取要求</w:t>
            </w:r>
          </w:p>
        </w:tc>
      </w:tr>
      <w:tr>
        <w:tblPrEx>
          <w:tblCellMar>
            <w:top w:w="0" w:type="dxa"/>
            <w:left w:w="108" w:type="dxa"/>
            <w:bottom w:w="0" w:type="dxa"/>
            <w:right w:w="108" w:type="dxa"/>
          </w:tblCellMar>
        </w:tblPrEx>
        <w:trPr>
          <w:trHeight w:val="598" w:hRule="atLeast"/>
          <w:jc w:val="center"/>
        </w:trPr>
        <w:tc>
          <w:tcPr>
            <w:tcW w:w="458" w:type="pc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271"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计算机功能板卡维修料包</w:t>
            </w:r>
          </w:p>
        </w:tc>
        <w:tc>
          <w:tcPr>
            <w:tcW w:w="3270" w:type="pct"/>
            <w:tcBorders>
              <w:top w:val="single" w:color="auto" w:sz="4" w:space="0"/>
              <w:left w:val="nil"/>
              <w:bottom w:val="single" w:color="auto" w:sz="4" w:space="0"/>
              <w:right w:val="single" w:color="auto" w:sz="4" w:space="0"/>
            </w:tcBorders>
            <w:vAlign w:val="center"/>
          </w:tcPr>
          <w:p>
            <w:pPr>
              <w:pageBreakBefore w:val="0"/>
              <w:widowControl w:val="0"/>
              <w:kinsoku/>
              <w:wordWrap/>
              <w:overflowPunct/>
              <w:topLinePunct w:val="0"/>
              <w:autoSpaceDE/>
              <w:autoSpaceDN/>
              <w:bidi w:val="0"/>
              <w:spacing w:line="240" w:lineRule="auto"/>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满足计算机功能板卡维修要求的对应备件物料料包</w:t>
            </w:r>
          </w:p>
        </w:tc>
      </w:tr>
    </w:tbl>
    <w:p>
      <w:pPr>
        <w:pageBreakBefore w:val="0"/>
        <w:widowControl w:val="0"/>
        <w:kinsoku/>
        <w:wordWrap/>
        <w:overflowPunct/>
        <w:topLinePunct w:val="0"/>
        <w:autoSpaceDE/>
        <w:autoSpaceDN/>
        <w:bidi w:val="0"/>
        <w:spacing w:line="240" w:lineRule="auto"/>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（三）赛事管理和裁判技术平台</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1633"/>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91"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序号</w:t>
            </w:r>
          </w:p>
        </w:tc>
        <w:tc>
          <w:tcPr>
            <w:tcW w:w="958"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平台名称</w:t>
            </w:r>
          </w:p>
        </w:tc>
        <w:tc>
          <w:tcPr>
            <w:tcW w:w="3351"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91"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958"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智能检测平台中心管理系统</w:t>
            </w:r>
          </w:p>
        </w:tc>
        <w:tc>
          <w:tcPr>
            <w:tcW w:w="3351" w:type="pct"/>
            <w:vAlign w:val="center"/>
          </w:tcPr>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1、支持台式机系列、笔记本系列、显示器系列功能板的设置及管理；</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2、支持练习、考核两种模式，方便开展日常教学及考核；</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3、支持练习题库管理、考核题库管理；</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4、支持方便的进行故障设定，只需勾选上对应的编号就可设定；</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5、支持练习模式、考核模式阶段控制，可以实现远程控制智能检测软件；</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6、支持练习模式、考核模式支持过程监控，可监控学生的操作进度以及成绩，并且学生成绩可实名对应；</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7、支持料件管理，实现对料件申领的操作；</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8、支持维修且提交后，系统自动评分；</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9、支持成绩以文件形式导出。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91"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958"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智能检测软件</w:t>
            </w:r>
          </w:p>
        </w:tc>
        <w:tc>
          <w:tcPr>
            <w:tcW w:w="3351" w:type="pct"/>
            <w:vAlign w:val="center"/>
          </w:tcPr>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1、支持台式机系列、笔记本系列、显示器系列功能板的故障智能检测功能；</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2、支持功能板维修前故障智能确认、维修中故障智能提示及维修后结果确认；</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3、支持平时练习和考核两种模式功能；</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4、支持在练习模式下，对功能板进行智能准确的检测，定位故障点，提供故障范围提示，引导学生逐步维修，并能提供维修结果；</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5、支持在考核模式下，对功能板故障进行定位并与服务器比对，若一致方可继续考核，考后提交考核报告并实现自动评分；</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6、支持智能提示错误操作，如插入了错误的功能板、功能板未置于开机状态、串口未连接、服务器未连接等；</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7、支持查看维修板卡所对应的电路图；</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8、支持电子流程的料件申领。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91" w:type="pct"/>
            <w:vAlign w:val="center"/>
          </w:tcPr>
          <w:p>
            <w:pPr>
              <w:pageBreakBefore w:val="0"/>
              <w:widowControl w:val="0"/>
              <w:kinsoku/>
              <w:wordWrap/>
              <w:overflowPunct/>
              <w:topLinePunct w:val="0"/>
              <w:autoSpaceDE/>
              <w:autoSpaceDN/>
              <w:bidi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958" w:type="pct"/>
            <w:vAlign w:val="center"/>
          </w:tcPr>
          <w:p>
            <w:pPr>
              <w:pageBreakBefore w:val="0"/>
              <w:widowControl w:val="0"/>
              <w:kinsoku/>
              <w:wordWrap/>
              <w:overflowPunct/>
              <w:topLinePunct w:val="0"/>
              <w:autoSpaceDE/>
              <w:autoSpaceDN/>
              <w:bidi w:val="0"/>
              <w:snapToGrid w:val="0"/>
              <w:spacing w:line="240" w:lineRule="auto"/>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bCs/>
                <w:sz w:val="24"/>
                <w:szCs w:val="24"/>
              </w:rPr>
              <w:t>智能检测平台</w:t>
            </w:r>
          </w:p>
        </w:tc>
        <w:tc>
          <w:tcPr>
            <w:tcW w:w="3351" w:type="pct"/>
            <w:vAlign w:val="center"/>
          </w:tcPr>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1、采用专用硬件1U平台；</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2、具备无风扇静音设计；</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3、具备功能板检测接口，支持80个检测点；</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4、具备电平、电压、频率三种信号检测的功能；</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5、具备通讯COM口，可与计算机通信；</w:t>
            </w:r>
          </w:p>
          <w:p>
            <w:pPr>
              <w:pageBreakBefore w:val="0"/>
              <w:widowControl w:val="0"/>
              <w:kinsoku/>
              <w:wordWrap/>
              <w:overflowPunct/>
              <w:topLinePunct w:val="0"/>
              <w:autoSpaceDE/>
              <w:autoSpaceDN/>
              <w:bidi w:val="0"/>
              <w:snapToGrid w:val="0"/>
              <w:spacing w:line="240" w:lineRule="auto"/>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6、具备对台式机系列、笔记本系列、显示器系列功能板的故障智能检测功能。</w:t>
            </w:r>
          </w:p>
        </w:tc>
      </w:tr>
    </w:tbl>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b/>
          <w:bCs/>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bookmarkStart w:id="17" w:name="_Toc22447"/>
      <w:r>
        <w:rPr>
          <w:rFonts w:hint="eastAsia" w:ascii="微软雅黑" w:hAnsi="微软雅黑" w:eastAsia="微软雅黑" w:cs="微软雅黑"/>
          <w:b/>
          <w:bCs/>
          <w:color w:val="auto"/>
          <w:spacing w:val="0"/>
          <w:w w:val="100"/>
          <w:sz w:val="32"/>
          <w:szCs w:val="32"/>
          <w:lang w:val="en-US" w:eastAsia="zh-CN"/>
        </w:rPr>
        <w:t>五、疫情防控要求</w:t>
      </w:r>
      <w:bookmarkEnd w:id="17"/>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b w:val="0"/>
          <w:bCs w:val="0"/>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lang w:val="en-US" w:eastAsia="zh-CN"/>
        </w:rPr>
        <w:t>根据国家及当地疫情防控的相关规定，做好赛前集中技术工作对接、比赛报到、住宿、交通，以及赛场人流控制、核酸检测、体温检测等环节的相关防疫工作。如体温检测≥37.3℃，引导至所设临时隔离等候区域，参赛人员暂停竞赛活动并马上报告组委会，按照疫情防控处置流程将发热人员送至就近指定医疗机构的发热门诊就诊。如医疗机构确定其无问题可返回参赛(受此影响的竞赛时间不补)。</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560" w:firstLineChars="200"/>
        <w:textAlignment w:val="auto"/>
        <w:outlineLvl w:val="9"/>
        <w:rPr>
          <w:rFonts w:hint="eastAsia" w:ascii="微软雅黑" w:hAnsi="微软雅黑" w:eastAsia="微软雅黑" w:cs="微软雅黑"/>
          <w:b w:val="0"/>
          <w:bCs w:val="0"/>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lang w:val="en-US" w:eastAsia="zh-CN"/>
        </w:rPr>
        <w:t>任何参赛选手和其他人员须遵照执行防疫工作相关措施要求，如：全程佩戴口罩、保持安全距离；防疫物品自备，一次性医用口罩使用完毕后，须丢弃到专用垃圾桶。</w:t>
      </w: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0"/>
        <w:rPr>
          <w:rFonts w:hint="eastAsia" w:ascii="微软雅黑" w:hAnsi="微软雅黑" w:eastAsia="微软雅黑" w:cs="微软雅黑"/>
          <w:b/>
          <w:bCs/>
          <w:color w:val="auto"/>
          <w:spacing w:val="0"/>
          <w:w w:val="100"/>
          <w:sz w:val="32"/>
          <w:szCs w:val="32"/>
        </w:rPr>
      </w:pPr>
      <w:bookmarkStart w:id="18" w:name="_Toc2825"/>
      <w:r>
        <w:rPr>
          <w:rFonts w:hint="eastAsia" w:ascii="微软雅黑" w:hAnsi="微软雅黑" w:eastAsia="微软雅黑" w:cs="微软雅黑"/>
          <w:b/>
          <w:bCs/>
          <w:color w:val="auto"/>
          <w:spacing w:val="0"/>
          <w:w w:val="100"/>
          <w:sz w:val="32"/>
          <w:szCs w:val="32"/>
          <w:lang w:val="en-US" w:eastAsia="zh-CN"/>
        </w:rPr>
        <w:t>六</w:t>
      </w:r>
      <w:r>
        <w:rPr>
          <w:rFonts w:hint="eastAsia" w:ascii="微软雅黑" w:hAnsi="微软雅黑" w:eastAsia="微软雅黑" w:cs="微软雅黑"/>
          <w:b/>
          <w:bCs/>
          <w:color w:val="auto"/>
          <w:spacing w:val="0"/>
          <w:w w:val="100"/>
          <w:sz w:val="32"/>
          <w:szCs w:val="32"/>
        </w:rPr>
        <w:t>、技术支持单位联系方式：</w:t>
      </w:r>
      <w:bookmarkEnd w:id="18"/>
      <w:bookmarkStart w:id="19" w:name="智科智能技术研究院有限公司 陈柯帆 13771197522 （微信同号）"/>
      <w:bookmarkEnd w:id="19"/>
    </w:p>
    <w:p>
      <w:pPr>
        <w:keepNext w:val="0"/>
        <w:keepLines w:val="0"/>
        <w:pageBreakBefore w:val="0"/>
        <w:widowControl w:val="0"/>
        <w:kinsoku/>
        <w:wordWrap/>
        <w:overflowPunct/>
        <w:topLinePunct w:val="0"/>
        <w:autoSpaceDE/>
        <w:autoSpaceDN/>
        <w:bidi w:val="0"/>
        <w:adjustRightInd w:val="0"/>
        <w:snapToGrid/>
        <w:spacing w:line="240" w:lineRule="auto"/>
        <w:ind w:left="0" w:right="0"/>
        <w:textAlignment w:val="auto"/>
        <w:outlineLvl w:val="9"/>
        <w:rPr>
          <w:rFonts w:hint="eastAsia" w:ascii="微软雅黑" w:hAnsi="微软雅黑" w:eastAsia="微软雅黑" w:cs="微软雅黑"/>
          <w:b/>
          <w:color w:val="auto"/>
          <w:spacing w:val="0"/>
          <w:w w:val="100"/>
          <w:sz w:val="28"/>
          <w:szCs w:val="28"/>
          <w:lang w:val="en-US" w:eastAsia="zh-CN"/>
        </w:rPr>
      </w:pPr>
      <w:r>
        <w:rPr>
          <w:rFonts w:hint="eastAsia" w:ascii="微软雅黑" w:hAnsi="微软雅黑" w:eastAsia="微软雅黑" w:cs="微软雅黑"/>
          <w:b w:val="0"/>
          <w:bCs w:val="0"/>
          <w:color w:val="auto"/>
          <w:spacing w:val="0"/>
          <w:w w:val="100"/>
          <w:sz w:val="28"/>
          <w:szCs w:val="28"/>
        </w:rPr>
        <w:t>智科智能技术研究院有限公司</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陈柯帆</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13771197522</w:t>
      </w:r>
      <w:r>
        <w:rPr>
          <w:rFonts w:hint="eastAsia" w:ascii="微软雅黑" w:hAnsi="微软雅黑" w:eastAsia="微软雅黑" w:cs="微软雅黑"/>
          <w:b w:val="0"/>
          <w:bCs w:val="0"/>
          <w:color w:val="auto"/>
          <w:spacing w:val="0"/>
          <w:w w:val="100"/>
          <w:sz w:val="28"/>
          <w:szCs w:val="28"/>
          <w:lang w:eastAsia="zh-CN"/>
        </w:rPr>
        <w:t xml:space="preserve"> </w:t>
      </w:r>
      <w:r>
        <w:rPr>
          <w:rFonts w:hint="eastAsia" w:ascii="微软雅黑" w:hAnsi="微软雅黑" w:eastAsia="微软雅黑" w:cs="微软雅黑"/>
          <w:b w:val="0"/>
          <w:bCs w:val="0"/>
          <w:color w:val="auto"/>
          <w:spacing w:val="0"/>
          <w:w w:val="100"/>
          <w:sz w:val="28"/>
          <w:szCs w:val="28"/>
        </w:rPr>
        <w:t>（微信同号</w:t>
      </w:r>
      <w:r>
        <w:rPr>
          <w:rFonts w:hint="eastAsia" w:ascii="微软雅黑" w:hAnsi="微软雅黑" w:eastAsia="微软雅黑" w:cs="微软雅黑"/>
          <w:b w:val="0"/>
          <w:bCs w:val="0"/>
          <w:color w:val="auto"/>
          <w:spacing w:val="0"/>
          <w:w w:val="100"/>
          <w:sz w:val="28"/>
          <w:szCs w:val="28"/>
          <w:lang w:eastAsia="zh-CN"/>
        </w:rPr>
        <w:t>）</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62DD1"/>
    <w:rsid w:val="3FED266E"/>
    <w:rsid w:val="4D197683"/>
    <w:rsid w:val="4EAF553A"/>
    <w:rsid w:val="63162DD1"/>
    <w:rsid w:val="71495168"/>
    <w:rsid w:val="737C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1"/>
    <w:pPr>
      <w:ind w:left="520"/>
      <w:outlineLvl w:val="3"/>
    </w:pPr>
    <w:rPr>
      <w:rFonts w:ascii="宋体" w:hAnsi="宋体" w:eastAsia="宋体" w:cs="宋体"/>
      <w:b/>
      <w:bCs/>
      <w:sz w:val="27"/>
      <w:szCs w:val="27"/>
      <w:lang w:val="zh-CN" w:eastAsia="zh-CN" w:bidi="zh-CN"/>
    </w:rPr>
  </w:style>
  <w:style w:type="paragraph" w:styleId="4">
    <w:name w:val="heading 4"/>
    <w:basedOn w:val="1"/>
    <w:next w:val="1"/>
    <w:qFormat/>
    <w:uiPriority w:val="1"/>
    <w:pPr>
      <w:spacing w:before="1"/>
      <w:ind w:left="520"/>
      <w:outlineLvl w:val="4"/>
    </w:pPr>
    <w:rPr>
      <w:rFonts w:ascii="宋体" w:hAnsi="宋体" w:eastAsia="宋体" w:cs="宋体"/>
      <w:b/>
      <w:bCs/>
      <w:sz w:val="24"/>
      <w:szCs w:val="24"/>
      <w:lang w:val="zh-CN" w:eastAsia="zh-CN" w:bidi="zh-CN"/>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4"/>
      <w:szCs w:val="24"/>
      <w:lang w:val="zh-CN" w:eastAsia="zh-CN" w:bidi="zh-CN"/>
    </w:rPr>
  </w:style>
  <w:style w:type="paragraph" w:styleId="6">
    <w:name w:val="footer"/>
    <w:basedOn w:val="1"/>
    <w:qFormat/>
    <w:uiPriority w:val="99"/>
    <w:pPr>
      <w:tabs>
        <w:tab w:val="center" w:pos="4320"/>
        <w:tab w:val="right" w:pos="8640"/>
      </w:tabs>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table" w:styleId="10">
    <w:name w:val="Table Grid"/>
    <w:basedOn w:val="9"/>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styleId="13">
    <w:name w:val="List Paragraph"/>
    <w:basedOn w:val="1"/>
    <w:qFormat/>
    <w:uiPriority w:val="1"/>
    <w:pPr>
      <w:ind w:left="520" w:firstLine="559"/>
    </w:pPr>
    <w:rPr>
      <w:rFonts w:ascii="仿宋" w:hAnsi="仿宋" w:eastAsia="仿宋" w:cs="仿宋"/>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 w:type="character" w:customStyle="1" w:styleId="15">
    <w:name w:val="font11"/>
    <w:basedOn w:val="11"/>
    <w:qFormat/>
    <w:uiPriority w:val="0"/>
    <w:rPr>
      <w:rFonts w:hint="eastAsia" w:ascii="微软雅黑" w:hAnsi="微软雅黑" w:eastAsia="微软雅黑" w:cs="微软雅黑"/>
      <w:b/>
      <w:bCs/>
      <w:color w:val="000000"/>
      <w:sz w:val="21"/>
      <w:szCs w:val="21"/>
      <w:u w:val="none"/>
    </w:rPr>
  </w:style>
  <w:style w:type="character" w:customStyle="1" w:styleId="16">
    <w:name w:val="font31"/>
    <w:basedOn w:val="11"/>
    <w:qFormat/>
    <w:uiPriority w:val="0"/>
    <w:rPr>
      <w:rFonts w:hint="eastAsia" w:ascii="微软雅黑" w:hAnsi="微软雅黑" w:eastAsia="微软雅黑" w:cs="微软雅黑"/>
      <w:color w:val="000000"/>
      <w:sz w:val="21"/>
      <w:szCs w:val="21"/>
      <w:u w:val="none"/>
    </w:rPr>
  </w:style>
  <w:style w:type="character" w:customStyle="1" w:styleId="17">
    <w:name w:val="font21"/>
    <w:basedOn w:val="11"/>
    <w:qFormat/>
    <w:uiPriority w:val="0"/>
    <w:rPr>
      <w:rFonts w:hint="eastAsia" w:ascii="微软雅黑" w:hAnsi="微软雅黑" w:eastAsia="微软雅黑" w:cs="微软雅黑"/>
      <w:color w:val="000000"/>
      <w:sz w:val="17"/>
      <w:szCs w:val="17"/>
      <w:u w:val="none"/>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彩色列表 - 着色 11"/>
    <w:basedOn w:val="1"/>
    <w:qFormat/>
    <w:uiPriority w:val="99"/>
    <w:pPr>
      <w:spacing w:after="160" w:line="256" w:lineRule="auto"/>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2021-08-20T02:12:00Z</dcterms:created>
  <dc:creator>湮落缪苏</dc:creator>
  <cp:lastModifiedBy>湮落缪苏</cp:lastModifiedBy>
  <dcterms:modified xsi:type="dcterms:W3CDTF">2021-08-20T05:48:38Z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44757DAFAD5F4041A890F0CEAC201973</vt:lpwstr>
  </property>
</Properties>
</file>