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80" w:lineRule="exact"/>
        <w:ind w:firstLine="0"/>
        <w:rPr>
          <w:rFonts w:ascii="方正黑体_GBK" w:hAnsi="Calibri" w:eastAsia="方正黑体_GBK" w:cs="宋体"/>
          <w:snapToGrid/>
          <w:color w:val="000000"/>
          <w:szCs w:val="32"/>
        </w:rPr>
      </w:pPr>
      <w:r>
        <w:rPr>
          <w:rFonts w:hint="eastAsia" w:ascii="方正黑体_GBK" w:hAnsi="Calibri" w:eastAsia="方正黑体_GBK" w:cs="宋体"/>
          <w:snapToGrid/>
          <w:color w:val="000000"/>
          <w:szCs w:val="32"/>
        </w:rPr>
        <w:t>附件2</w:t>
      </w:r>
    </w:p>
    <w:p>
      <w:pPr>
        <w:autoSpaceDE/>
        <w:autoSpaceDN/>
        <w:snapToGrid/>
        <w:spacing w:line="580" w:lineRule="exact"/>
        <w:ind w:firstLine="0"/>
        <w:jc w:val="center"/>
        <w:rPr>
          <w:rFonts w:ascii="方正小标宋_GBK" w:hAnsi="Calibri" w:eastAsia="方正小标宋_GBK" w:cs="宋体"/>
          <w:snapToGrid/>
          <w:color w:val="000000"/>
          <w:sz w:val="40"/>
          <w:szCs w:val="40"/>
        </w:rPr>
      </w:pPr>
      <w:r>
        <w:rPr>
          <w:rFonts w:hint="eastAsia" w:ascii="方正小标宋_GBK" w:hAnsi="Calibri" w:eastAsia="方正小标宋_GBK" w:cs="宋体"/>
          <w:snapToGrid/>
          <w:color w:val="000000"/>
          <w:sz w:val="40"/>
          <w:szCs w:val="40"/>
        </w:rPr>
        <w:t>高层次和急需紧缺人才考核认定</w:t>
      </w:r>
    </w:p>
    <w:p>
      <w:pPr>
        <w:autoSpaceDE/>
        <w:autoSpaceDN/>
        <w:snapToGrid/>
        <w:spacing w:line="580" w:lineRule="exact"/>
        <w:ind w:firstLine="0"/>
        <w:jc w:val="center"/>
        <w:rPr>
          <w:rFonts w:ascii="Calibri" w:hAnsi="Calibri" w:eastAsia="宋体"/>
          <w:snapToGrid/>
          <w:color w:val="000000"/>
          <w:kern w:val="2"/>
          <w:sz w:val="21"/>
          <w:szCs w:val="22"/>
        </w:rPr>
      </w:pPr>
      <w:r>
        <w:rPr>
          <w:rFonts w:hint="eastAsia" w:ascii="方正小标宋_GBK" w:hAnsi="Calibri" w:eastAsia="方正小标宋_GBK" w:cs="宋体"/>
          <w:snapToGrid/>
          <w:color w:val="000000"/>
          <w:sz w:val="40"/>
          <w:szCs w:val="40"/>
        </w:rPr>
        <w:t>高级职称名称对应表</w:t>
      </w:r>
    </w:p>
    <w:tbl>
      <w:tblPr>
        <w:tblStyle w:val="3"/>
        <w:tblW w:w="963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"/>
        <w:gridCol w:w="730"/>
        <w:gridCol w:w="55"/>
        <w:gridCol w:w="2251"/>
        <w:gridCol w:w="2977"/>
        <w:gridCol w:w="293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688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方正黑体_GBK" w:hAnsi="Calibri" w:eastAsia="方正黑体_GBK" w:cs="宋体"/>
                <w:bCs/>
                <w:snapToGrid/>
                <w:sz w:val="28"/>
                <w:szCs w:val="28"/>
              </w:rPr>
            </w:pPr>
            <w:r>
              <w:rPr>
                <w:rFonts w:hint="eastAsia" w:ascii="方正黑体_GBK" w:hAnsi="Calibri" w:eastAsia="方正黑体_GBK" w:cs="宋体"/>
                <w:bCs/>
                <w:snapToGrid/>
                <w:sz w:val="28"/>
                <w:szCs w:val="28"/>
              </w:rPr>
              <w:t>领域</w:t>
            </w: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方正黑体_GBK" w:hAnsi="Calibri" w:eastAsia="方正黑体_GBK" w:cs="宋体"/>
                <w:bCs/>
                <w:snapToGrid/>
                <w:sz w:val="28"/>
                <w:szCs w:val="28"/>
              </w:rPr>
            </w:pPr>
            <w:r>
              <w:rPr>
                <w:rFonts w:hint="eastAsia" w:ascii="方正黑体_GBK" w:hAnsi="Calibri" w:eastAsia="方正黑体_GBK" w:cs="宋体"/>
                <w:bCs/>
                <w:snapToGrid/>
                <w:sz w:val="28"/>
                <w:szCs w:val="28"/>
              </w:rPr>
              <w:t>系列（专业）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方正黑体_GBK" w:hAnsi="Calibri" w:eastAsia="方正黑体_GBK" w:cs="宋体"/>
                <w:bCs/>
                <w:snapToGrid/>
                <w:sz w:val="28"/>
                <w:szCs w:val="28"/>
              </w:rPr>
            </w:pPr>
            <w:r>
              <w:rPr>
                <w:rFonts w:hint="eastAsia" w:ascii="方正黑体_GBK" w:hAnsi="Calibri" w:eastAsia="方正黑体_GBK" w:cs="宋体"/>
                <w:bCs/>
                <w:snapToGrid/>
                <w:sz w:val="28"/>
                <w:szCs w:val="28"/>
              </w:rPr>
              <w:t>正高级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方正黑体_GBK" w:hAnsi="Calibri" w:eastAsia="方正黑体_GBK" w:cs="宋体"/>
                <w:bCs/>
                <w:snapToGrid/>
                <w:sz w:val="28"/>
                <w:szCs w:val="28"/>
              </w:rPr>
            </w:pPr>
            <w:r>
              <w:rPr>
                <w:rFonts w:hint="eastAsia" w:ascii="方正黑体_GBK" w:hAnsi="Calibri" w:eastAsia="方正黑体_GBK" w:cs="宋体"/>
                <w:bCs/>
                <w:snapToGrid/>
                <w:sz w:val="28"/>
                <w:szCs w:val="28"/>
              </w:rPr>
              <w:t>副高级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自然科研领域</w:t>
            </w: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自然科学研究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农业科学研究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实验技术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正高级实验师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高级实验师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5" w:leftChars="36" w:right="113" w:firstLine="211" w:firstLineChars="100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工程技术领域</w:t>
            </w: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建设工程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正高级工程（建筑、城乡规划）师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高级工程（建筑、城乡规划）师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6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left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电子信息工程、石油化工工程、交通运输工程、智能交通工程、铁路工程、水利工程、机械工程、轻工工程、纺织工程、冶金工程、煤炭工程、电力工程、通信工程、船舶与海洋工程、农业机械工程、广播电影电视工程、质量工程、生态环境工程、自然资源工程、快递工程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正高级工程师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高级工程师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哲学社会科学和文化艺术领域</w:t>
            </w: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社会科学研究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思想政治工作人员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restart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新闻</w:t>
            </w: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br w:type="textWrapping"/>
            </w: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专业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记者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高级记者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主任记者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编辑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高级编辑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主任编辑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播音专业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播音指导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主任播音员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restart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出版</w:t>
            </w: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br w:type="textWrapping"/>
            </w: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专业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编辑</w:t>
            </w:r>
          </w:p>
        </w:tc>
        <w:tc>
          <w:tcPr>
            <w:tcW w:w="2977" w:type="dxa"/>
            <w:vMerge w:val="restart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编审</w:t>
            </w:r>
          </w:p>
        </w:tc>
        <w:tc>
          <w:tcPr>
            <w:tcW w:w="2936" w:type="dxa"/>
            <w:vMerge w:val="restart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副编审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技术编辑</w:t>
            </w:r>
          </w:p>
        </w:tc>
        <w:tc>
          <w:tcPr>
            <w:tcW w:w="2977" w:type="dxa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936" w:type="dxa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校对</w:t>
            </w:r>
          </w:p>
        </w:tc>
        <w:tc>
          <w:tcPr>
            <w:tcW w:w="2977" w:type="dxa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936" w:type="dxa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档案、图书资料、群众文化、文物博物专业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研究馆员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副研究馆员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restart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艺</w:t>
            </w:r>
          </w:p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术</w:t>
            </w:r>
          </w:p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专</w:t>
            </w:r>
          </w:p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业</w:t>
            </w:r>
          </w:p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编剧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一级编剧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二级编剧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作曲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一级作曲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二级作曲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导演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一级导演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二级导演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艺术监督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一级艺术监督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二级艺术监督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演员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一级演员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二级演员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演奏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一级演奏员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二级演奏员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指挥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一级指挥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二级指挥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编导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一级编导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二级编导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舞台美术设计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一级舞美设计师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二级舞美设计师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舞台技术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高级舞台技师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主任舞台技师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美术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一级美术（书法、摄影）师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二级美术（书法、摄影）师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文学创作人员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文学创作一级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文学创作二级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体育教练员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高级教练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律师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一级律师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二级律师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公证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一级公证员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二级公证员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教育领域</w:t>
            </w:r>
          </w:p>
        </w:tc>
        <w:tc>
          <w:tcPr>
            <w:tcW w:w="785" w:type="dxa"/>
            <w:gridSpan w:val="2"/>
            <w:vMerge w:val="restart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高等学校教师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教师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教授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副教授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学生思想政治教育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教授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副教授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教育管理研究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restart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技工学校教师</w:t>
            </w: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理论课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正高级讲师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高级讲师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2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251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实习课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正高级实习指导教师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高级实习指导教师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688" w:type="dxa"/>
            <w:vMerge w:val="continue"/>
            <w:tcBorders>
              <w:bottom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中等职业学校教师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正高级讲师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高级讲师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restart"/>
            <w:tcBorders>
              <w:top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医药卫生领域</w:t>
            </w:r>
          </w:p>
        </w:tc>
        <w:tc>
          <w:tcPr>
            <w:tcW w:w="3036" w:type="dxa"/>
            <w:gridSpan w:val="3"/>
            <w:vMerge w:val="restart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卫生技术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主任医师、社区主任医师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副主任医师、社区副主任医师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pacing w:val="-10"/>
                <w:sz w:val="21"/>
                <w:szCs w:val="21"/>
              </w:rPr>
              <w:t>主任中医师、社区主任中医师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副主任中医师、社区副主任中医师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pacing w:val="-1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pacing w:val="-10"/>
                <w:sz w:val="21"/>
                <w:szCs w:val="21"/>
              </w:rPr>
              <w:t>主任药师、社区主任药师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副主任药师、社区副主任药师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pacing w:val="-1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pacing w:val="-10"/>
                <w:sz w:val="21"/>
                <w:szCs w:val="21"/>
              </w:rPr>
              <w:t>主任中药师、社区主任中药师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副主任中药师、社区副主任中药师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pacing w:val="-1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主任护师、社区主任护师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副主任护师、社区副主任护师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vMerge w:val="continue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主任技师、社区主任技师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副主任技师、社区副主任技师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药学专业（药品）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主任药（中药）师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副主任药（中药）师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卫生管理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研究员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副研究员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restart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农业领域</w:t>
            </w:r>
          </w:p>
        </w:tc>
        <w:tc>
          <w:tcPr>
            <w:tcW w:w="730" w:type="dxa"/>
            <w:vMerge w:val="restart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农业技术</w:t>
            </w:r>
          </w:p>
        </w:tc>
        <w:tc>
          <w:tcPr>
            <w:tcW w:w="2306" w:type="dxa"/>
            <w:gridSpan w:val="2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农业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正高级农艺师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30" w:type="dxa"/>
            <w:vMerge w:val="continue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306" w:type="dxa"/>
            <w:gridSpan w:val="2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畜牧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正高级畜牧师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高级畜牧师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730" w:type="dxa"/>
            <w:vMerge w:val="continue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2306" w:type="dxa"/>
            <w:gridSpan w:val="2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兽医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正高级兽医师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高级兽医师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tcBorders>
              <w:bottom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农业经济管理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正高级农业经济师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restart"/>
            <w:tcBorders>
              <w:top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ind w:left="113" w:right="113" w:firstLine="0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经济领域</w:t>
            </w: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经济专业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正高级经济师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人力资源专业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正高级人力资源师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688" w:type="dxa"/>
            <w:vMerge w:val="continue"/>
            <w:tcBorders>
              <w:bottom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sz w:val="21"/>
                <w:szCs w:val="21"/>
              </w:rPr>
              <w:t>会计专业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正高级会计师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8" w:type="dxa"/>
            <w:vMerge w:val="restart"/>
            <w:tcBorders>
              <w:top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技艺技能领域</w:t>
            </w:r>
          </w:p>
        </w:tc>
        <w:tc>
          <w:tcPr>
            <w:tcW w:w="3036" w:type="dxa"/>
            <w:gridSpan w:val="3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工艺美术专业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正高级工艺美术师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高级工艺美术师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8" w:type="dxa"/>
            <w:vMerge w:val="continue"/>
            <w:tcBorders>
              <w:top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spacing w:line="240" w:lineRule="exact"/>
              <w:ind w:left="113" w:right="113" w:firstLine="0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乡土人才专业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正高级乡村振兴技艺师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688" w:type="dxa"/>
            <w:vMerge w:val="continue"/>
            <w:shd w:val="clear" w:color="auto" w:fill="auto"/>
            <w:textDirection w:val="tbRlV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left="113" w:right="113"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</w:p>
        </w:tc>
        <w:tc>
          <w:tcPr>
            <w:tcW w:w="3036" w:type="dxa"/>
            <w:gridSpan w:val="3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符合贯通要求的技能人才申报工程系列相应职称</w:t>
            </w:r>
          </w:p>
        </w:tc>
        <w:tc>
          <w:tcPr>
            <w:tcW w:w="2977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正高级工程师</w:t>
            </w:r>
          </w:p>
        </w:tc>
        <w:tc>
          <w:tcPr>
            <w:tcW w:w="2936" w:type="dxa"/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Calibri" w:hAnsi="Calibri" w:eastAsia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Calibri" w:hAnsi="Calibri" w:eastAsia="宋体" w:cs="宋体"/>
                <w:snapToGrid/>
                <w:color w:val="000000"/>
                <w:sz w:val="21"/>
                <w:szCs w:val="21"/>
              </w:rPr>
              <w:t>高级工程师</w:t>
            </w:r>
          </w:p>
        </w:tc>
      </w:tr>
    </w:tbl>
    <w:p>
      <w:pPr>
        <w:autoSpaceDE/>
        <w:autoSpaceDN/>
        <w:snapToGrid/>
        <w:spacing w:line="580" w:lineRule="exact"/>
        <w:ind w:firstLine="0"/>
        <w:jc w:val="center"/>
        <w:rPr>
          <w:rFonts w:ascii="方正小标宋_GBK" w:hAnsi="Calibri" w:eastAsia="方正小标宋_GBK" w:cs="宋体"/>
          <w:snapToGrid/>
          <w:color w:val="000000"/>
          <w:sz w:val="40"/>
          <w:szCs w:val="40"/>
        </w:rPr>
      </w:pPr>
    </w:p>
    <w:p>
      <w:pPr>
        <w:widowControl/>
        <w:autoSpaceDE/>
        <w:autoSpaceDN/>
        <w:snapToGrid/>
        <w:spacing w:line="580" w:lineRule="exact"/>
        <w:ind w:firstLine="0"/>
        <w:jc w:val="left"/>
        <w:rPr>
          <w:rFonts w:eastAsia="黑体"/>
          <w:spacing w:val="-6"/>
          <w:szCs w:val="32"/>
        </w:rPr>
      </w:pPr>
    </w:p>
    <w:p>
      <w:pPr>
        <w:ind w:left="0" w:leftChars="0" w:firstLine="0" w:firstLineChars="0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A7A3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仿宋"/>
      <w:snapToGrid w:val="0"/>
      <w:sz w:val="32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2020-08-28T07:56:30Z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