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kern w:val="0"/>
          <w:sz w:val="44"/>
          <w:szCs w:val="44"/>
        </w:rPr>
      </w:pPr>
      <w:bookmarkStart w:id="0" w:name="_Toc532390440"/>
      <w:bookmarkStart w:id="1" w:name="_Toc532390139"/>
      <w:bookmarkStart w:id="2" w:name="_Toc532309906"/>
      <w:r>
        <w:rPr>
          <w:rFonts w:hint="eastAsia" w:ascii="微软雅黑" w:hAnsi="微软雅黑" w:eastAsia="微软雅黑" w:cs="微软雅黑"/>
          <w:b/>
          <w:bCs/>
          <w:color w:val="auto"/>
          <w:spacing w:val="0"/>
          <w:w w:val="100"/>
          <w:kern w:val="0"/>
          <w:sz w:val="44"/>
          <w:szCs w:val="44"/>
        </w:rPr>
        <w:t>第二届江苏省信息技术应用职业技能大赛</w:t>
      </w: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kern w:val="0"/>
          <w:sz w:val="44"/>
          <w:szCs w:val="44"/>
          <w:lang w:eastAsia="zh-CN"/>
        </w:rPr>
      </w:pPr>
      <w:r>
        <w:rPr>
          <w:rFonts w:hint="eastAsia" w:ascii="微软雅黑" w:hAnsi="微软雅黑" w:eastAsia="微软雅黑" w:cs="微软雅黑"/>
          <w:b/>
          <w:bCs/>
          <w:color w:val="auto"/>
          <w:spacing w:val="0"/>
          <w:w w:val="100"/>
          <w:kern w:val="0"/>
          <w:sz w:val="44"/>
          <w:szCs w:val="44"/>
          <w:lang w:val="en-US" w:eastAsia="zh-CN"/>
        </w:rPr>
        <w:t>物联网安装调试员赛项实施</w:t>
      </w:r>
      <w:r>
        <w:rPr>
          <w:rFonts w:hint="eastAsia" w:ascii="微软雅黑" w:hAnsi="微软雅黑" w:eastAsia="微软雅黑" w:cs="微软雅黑"/>
          <w:b/>
          <w:bCs/>
          <w:color w:val="auto"/>
          <w:spacing w:val="0"/>
          <w:w w:val="100"/>
          <w:kern w:val="0"/>
          <w:sz w:val="44"/>
          <w:szCs w:val="44"/>
        </w:rPr>
        <w:t>方案与</w:t>
      </w:r>
      <w:r>
        <w:rPr>
          <w:rFonts w:hint="eastAsia" w:ascii="微软雅黑" w:hAnsi="微软雅黑" w:eastAsia="微软雅黑" w:cs="微软雅黑"/>
          <w:b/>
          <w:bCs/>
          <w:color w:val="auto"/>
          <w:spacing w:val="0"/>
          <w:w w:val="100"/>
          <w:kern w:val="0"/>
          <w:sz w:val="44"/>
          <w:szCs w:val="44"/>
          <w:lang w:val="en-US" w:eastAsia="zh-CN"/>
        </w:rPr>
        <w:t>技术文件</w:t>
      </w:r>
    </w:p>
    <w:bookmarkEnd w:id="0"/>
    <w:bookmarkEnd w:id="1"/>
    <w:bookmarkEnd w:id="2"/>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bookmarkStart w:id="3" w:name="_Toc29995437"/>
      <w:bookmarkStart w:id="4" w:name="_Toc60670777"/>
      <w:bookmarkStart w:id="5" w:name="_Toc532390142"/>
      <w:bookmarkStart w:id="6" w:name="_Toc29677770"/>
      <w:bookmarkStart w:id="7" w:name="_Toc60670987"/>
      <w:bookmarkStart w:id="8" w:name="_Toc532309909"/>
      <w:bookmarkStart w:id="9" w:name="_Toc532390443"/>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sectPr>
          <w:footerReference r:id="rId3" w:type="default"/>
          <w:pgSz w:w="11906" w:h="16838"/>
          <w:pgMar w:top="1440" w:right="1800" w:bottom="1440" w:left="1576" w:header="851" w:footer="992" w:gutter="0"/>
          <w:pgNumType w:fmt="decimal"/>
          <w:cols w:space="720" w:num="1"/>
          <w:docGrid w:type="lines" w:linePitch="312" w:charSpace="0"/>
        </w:sectPr>
      </w:pPr>
      <w:r>
        <w:rPr>
          <w:rFonts w:hint="eastAsia" w:ascii="微软雅黑" w:hAnsi="微软雅黑" w:eastAsia="微软雅黑" w:cs="微软雅黑"/>
          <w:color w:val="auto"/>
          <w:spacing w:val="0"/>
          <w:w w:val="100"/>
          <w:sz w:val="32"/>
          <w:szCs w:val="32"/>
        </w:rPr>
        <w:t>2021年1</w:t>
      </w:r>
      <w:r>
        <w:rPr>
          <w:rFonts w:hint="eastAsia" w:ascii="微软雅黑" w:hAnsi="微软雅黑" w:eastAsia="微软雅黑" w:cs="微软雅黑"/>
          <w:color w:val="auto"/>
          <w:spacing w:val="0"/>
          <w:w w:val="100"/>
          <w:sz w:val="32"/>
          <w:szCs w:val="32"/>
          <w:lang w:val="en-US" w:eastAsia="zh-CN"/>
        </w:rPr>
        <w:t>0</w:t>
      </w:r>
      <w:r>
        <w:rPr>
          <w:rFonts w:hint="eastAsia" w:ascii="微软雅黑" w:hAnsi="微软雅黑" w:eastAsia="微软雅黑" w:cs="微软雅黑"/>
          <w:color w:val="auto"/>
          <w:spacing w:val="0"/>
          <w:w w:val="100"/>
          <w:sz w:val="32"/>
          <w:szCs w:val="32"/>
        </w:rPr>
        <w:t>月</w:t>
      </w:r>
      <w:bookmarkEnd w:id="3"/>
      <w:bookmarkEnd w:id="4"/>
      <w:bookmarkEnd w:id="5"/>
      <w:bookmarkEnd w:id="6"/>
      <w:bookmarkEnd w:id="7"/>
      <w:bookmarkEnd w:id="8"/>
      <w:bookmarkEnd w:id="9"/>
    </w:p>
    <w:sdt>
      <w:sdtPr>
        <w:rPr>
          <w:rFonts w:hint="eastAsia" w:ascii="微软雅黑" w:hAnsi="微软雅黑" w:eastAsia="微软雅黑" w:cs="微软雅黑"/>
          <w:b/>
          <w:bCs/>
          <w:kern w:val="2"/>
          <w:sz w:val="44"/>
          <w:szCs w:val="44"/>
          <w:lang w:val="en-US" w:eastAsia="zh-CN" w:bidi="ar-SA"/>
        </w:rPr>
        <w:id w:val="147461013"/>
        <w15:color w:val="DBDBDB"/>
        <w:docPartObj>
          <w:docPartGallery w:val="Table of Contents"/>
          <w:docPartUnique/>
        </w:docPartObj>
      </w:sdtPr>
      <w:sdtEndPr>
        <w:rPr>
          <w:rFonts w:hint="eastAsia" w:ascii="微软雅黑" w:hAnsi="微软雅黑" w:eastAsia="微软雅黑" w:cs="微软雅黑"/>
          <w:b/>
          <w:bCs/>
          <w:color w:val="auto"/>
          <w:spacing w:val="0"/>
          <w:w w:val="100"/>
          <w:kern w:val="2"/>
          <w:sz w:val="21"/>
          <w:szCs w:val="44"/>
          <w:lang w:val="en-US" w:eastAsia="zh-CN" w:bidi="ar-SA"/>
        </w:rPr>
      </w:sdtEndPr>
      <w:sdtContent>
        <w:p>
          <w:pPr>
            <w:spacing w:before="0" w:beforeLines="0" w:after="0" w:afterLines="0" w:line="240" w:lineRule="auto"/>
            <w:ind w:left="0" w:leftChars="0" w:right="0" w:rightChars="0" w:firstLine="0" w:firstLineChars="0"/>
            <w:jc w:val="center"/>
            <w:outlineLvl w:val="9"/>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目录</w:t>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
              <w:bCs/>
              <w:color w:val="auto"/>
              <w:spacing w:val="0"/>
              <w:w w:val="100"/>
              <w:sz w:val="28"/>
              <w:szCs w:val="28"/>
              <w:lang w:val="en-US" w:eastAsia="zh-CN"/>
            </w:rPr>
            <w:fldChar w:fldCharType="begin"/>
          </w:r>
          <w:r>
            <w:rPr>
              <w:rFonts w:hint="eastAsia" w:ascii="微软雅黑" w:hAnsi="微软雅黑" w:eastAsia="微软雅黑" w:cs="微软雅黑"/>
              <w:b/>
              <w:bCs/>
              <w:color w:val="auto"/>
              <w:spacing w:val="0"/>
              <w:w w:val="100"/>
              <w:sz w:val="28"/>
              <w:szCs w:val="28"/>
              <w:lang w:val="en-US" w:eastAsia="zh-CN"/>
            </w:rPr>
            <w:instrText xml:space="preserve">TOC \o "1-1" \h \u </w:instrText>
          </w:r>
          <w:r>
            <w:rPr>
              <w:rFonts w:hint="eastAsia" w:ascii="微软雅黑" w:hAnsi="微软雅黑" w:eastAsia="微软雅黑" w:cs="微软雅黑"/>
              <w:b/>
              <w:bCs/>
              <w:color w:val="auto"/>
              <w:spacing w:val="0"/>
              <w:w w:val="100"/>
              <w:sz w:val="28"/>
              <w:szCs w:val="28"/>
              <w:lang w:val="en-US" w:eastAsia="zh-CN"/>
            </w:rPr>
            <w:fldChar w:fldCharType="separate"/>
          </w: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_Toc14262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一、赛项名称</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_Toc14262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_Toc10505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二、竞赛目的</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_Toc10505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_Toc20638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三、竞赛内容</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_Toc20638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_Toc7330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z w:val="28"/>
              <w:szCs w:val="28"/>
              <w:lang w:val="en-US" w:eastAsia="zh-CN"/>
            </w:rPr>
            <w:t>四、评分标准</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_Toc7330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_Toc4092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五</w:t>
          </w:r>
          <w:r>
            <w:rPr>
              <w:rFonts w:hint="eastAsia" w:ascii="微软雅黑" w:hAnsi="微软雅黑" w:eastAsia="微软雅黑" w:cs="微软雅黑"/>
              <w:bCs/>
              <w:spacing w:val="0"/>
              <w:w w:val="100"/>
              <w:sz w:val="28"/>
              <w:szCs w:val="28"/>
            </w:rPr>
            <w:t>、技术平台</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_Toc4092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6</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_Toc4275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六、疫情防控要求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_Toc4275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7</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7"/>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_Toc7020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七</w:t>
          </w:r>
          <w:r>
            <w:rPr>
              <w:rFonts w:hint="eastAsia" w:ascii="微软雅黑" w:hAnsi="微软雅黑" w:eastAsia="微软雅黑" w:cs="微软雅黑"/>
              <w:bCs/>
              <w:spacing w:val="0"/>
              <w:w w:val="100"/>
              <w:sz w:val="28"/>
              <w:szCs w:val="28"/>
            </w:rPr>
            <w:t>、技术支持单位联系方式</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_Toc7020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7</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sz w:val="44"/>
              <w:szCs w:val="44"/>
              <w:lang w:val="en-US" w:eastAsia="zh-CN"/>
            </w:rPr>
          </w:pPr>
          <w:r>
            <w:rPr>
              <w:rFonts w:hint="eastAsia" w:ascii="微软雅黑" w:hAnsi="微软雅黑" w:eastAsia="微软雅黑" w:cs="微软雅黑"/>
              <w:bCs/>
              <w:color w:val="auto"/>
              <w:spacing w:val="0"/>
              <w:w w:val="100"/>
              <w:szCs w:val="28"/>
              <w:lang w:val="en-US" w:eastAsia="zh-CN"/>
            </w:rPr>
            <w:fldChar w:fldCharType="end"/>
          </w:r>
          <w:bookmarkStart w:id="23" w:name="_GoBack"/>
          <w:bookmarkEnd w:id="23"/>
        </w:p>
      </w:sdtContent>
    </w:sdt>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0" w:name="_Toc14262"/>
      <w:r>
        <w:rPr>
          <w:rFonts w:hint="eastAsia" w:ascii="微软雅黑" w:hAnsi="微软雅黑" w:eastAsia="微软雅黑" w:cs="微软雅黑"/>
          <w:b/>
          <w:bCs/>
          <w:color w:val="auto"/>
          <w:spacing w:val="0"/>
          <w:w w:val="100"/>
          <w:sz w:val="32"/>
          <w:szCs w:val="32"/>
        </w:rPr>
        <w:t>一、赛项名称</w:t>
      </w:r>
      <w:bookmarkEnd w:id="10"/>
    </w:p>
    <w:p>
      <w:pPr>
        <w:pStyle w:val="4"/>
        <w:keepNext w:val="0"/>
        <w:keepLines w:val="0"/>
        <w:pageBreakBefore w:val="0"/>
        <w:widowControl w:val="0"/>
        <w:kinsoku/>
        <w:wordWrap/>
        <w:overflowPunct/>
        <w:topLinePunct w:val="0"/>
        <w:autoSpaceDE/>
        <w:autoSpaceDN/>
        <w:bidi w:val="0"/>
        <w:adjustRightInd w:val="0"/>
        <w:snapToGrid/>
        <w:spacing w:before="313" w:beforeLines="100" w:after="313" w:afterLines="100" w:line="240" w:lineRule="auto"/>
        <w:ind w:left="0" w:right="0"/>
        <w:jc w:val="center"/>
        <w:textAlignment w:val="auto"/>
        <w:outlineLvl w:val="9"/>
        <w:rPr>
          <w:rFonts w:hint="eastAsia" w:ascii="微软雅黑" w:hAnsi="微软雅黑" w:eastAsia="微软雅黑" w:cs="微软雅黑"/>
          <w:b/>
          <w:bCs/>
          <w:color w:val="auto"/>
          <w:spacing w:val="0"/>
          <w:w w:val="100"/>
          <w:sz w:val="32"/>
          <w:szCs w:val="32"/>
        </w:rPr>
      </w:pPr>
      <w:r>
        <w:rPr>
          <w:rFonts w:hint="eastAsia" w:ascii="微软雅黑" w:hAnsi="微软雅黑" w:eastAsia="微软雅黑" w:cs="微软雅黑"/>
          <w:b/>
          <w:bCs/>
          <w:color w:val="auto"/>
          <w:spacing w:val="0"/>
          <w:w w:val="100"/>
          <w:sz w:val="32"/>
          <w:szCs w:val="32"/>
        </w:rPr>
        <w:t>赛项名称：物联网安装调试员</w:t>
      </w:r>
    </w:p>
    <w:p>
      <w:pPr>
        <w:pStyle w:val="4"/>
        <w:keepNext w:val="0"/>
        <w:keepLines w:val="0"/>
        <w:pageBreakBefore w:val="0"/>
        <w:widowControl w:val="0"/>
        <w:kinsoku/>
        <w:wordWrap/>
        <w:overflowPunct/>
        <w:topLinePunct w:val="0"/>
        <w:autoSpaceDE/>
        <w:autoSpaceDN/>
        <w:bidi w:val="0"/>
        <w:adjustRightInd w:val="0"/>
        <w:snapToGrid/>
        <w:spacing w:before="313" w:beforeLines="100" w:after="313" w:afterLines="100" w:line="240" w:lineRule="auto"/>
        <w:ind w:left="0" w:right="0"/>
        <w:jc w:val="center"/>
        <w:textAlignment w:val="auto"/>
        <w:outlineLvl w:val="9"/>
        <w:rPr>
          <w:rFonts w:hint="eastAsia" w:ascii="微软雅黑" w:hAnsi="微软雅黑" w:eastAsia="微软雅黑" w:cs="微软雅黑"/>
          <w:b/>
          <w:bCs/>
          <w:color w:val="auto"/>
          <w:spacing w:val="0"/>
          <w:w w:val="100"/>
          <w:sz w:val="32"/>
          <w:szCs w:val="32"/>
        </w:rPr>
      </w:pPr>
      <w:r>
        <w:rPr>
          <w:rFonts w:hint="eastAsia" w:ascii="微软雅黑" w:hAnsi="微软雅黑" w:eastAsia="微软雅黑" w:cs="微软雅黑"/>
          <w:b/>
          <w:bCs/>
          <w:color w:val="auto"/>
          <w:spacing w:val="0"/>
          <w:w w:val="100"/>
          <w:sz w:val="32"/>
          <w:szCs w:val="32"/>
        </w:rPr>
        <w:t>赛项归属产业：新一代信息技术</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1" w:name="二、竞赛目的 "/>
      <w:bookmarkEnd w:id="11"/>
      <w:bookmarkStart w:id="12" w:name="_Toc10505"/>
      <w:r>
        <w:rPr>
          <w:rFonts w:hint="eastAsia" w:ascii="微软雅黑" w:hAnsi="微软雅黑" w:eastAsia="微软雅黑" w:cs="微软雅黑"/>
          <w:b/>
          <w:bCs/>
          <w:color w:val="auto"/>
          <w:spacing w:val="0"/>
          <w:w w:val="100"/>
          <w:sz w:val="32"/>
          <w:szCs w:val="32"/>
        </w:rPr>
        <w:t>二、竞赛目的</w:t>
      </w:r>
      <w:bookmarkEnd w:id="12"/>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color w:val="auto"/>
          <w:spacing w:val="0"/>
          <w:w w:val="100"/>
          <w:sz w:val="28"/>
          <w:szCs w:val="28"/>
        </w:rPr>
      </w:pPr>
      <w:bookmarkStart w:id="13" w:name="三、竞赛内容 "/>
      <w:bookmarkEnd w:id="13"/>
      <w:r>
        <w:rPr>
          <w:rFonts w:hint="eastAsia" w:ascii="微软雅黑" w:hAnsi="微软雅黑" w:eastAsia="微软雅黑" w:cs="微软雅黑"/>
          <w:color w:val="auto"/>
          <w:spacing w:val="0"/>
          <w:w w:val="100"/>
          <w:sz w:val="28"/>
          <w:szCs w:val="28"/>
        </w:rPr>
        <w:t>本次竞赛参照《物联网安装调试员国家职业技能标准》(2020年发布，职业编码6-25-04-09)，在任务书要求的物联网应用场景下，参赛队利用组委会提供的竞赛套件，软硬件条件以及相应的检测仪器和专用工具，完成物联网产品设备选型、系统布局设计、设备安装调试、系统配置和系统交付等多个核心任务，具体考察参赛队安装、配置、调试与交付物联网产品和系统的完成度、准确度、工艺水平和完成速度及功能的实现。</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本次竞赛中，参赛队根据任务书的要求，在指定比赛时间内，完成技能任务，裁判组根据评分标准进行评价打分，最终以参赛队为单位的团队打分进行排序，决定比赛名次。各组选手如果竞赛总分相同者，按实操得分高者优先，若实操得分相同时，按照理论得分高者优先。</w:t>
      </w:r>
    </w:p>
    <w:p>
      <w:pPr>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4" w:name="_Toc20638"/>
      <w:r>
        <w:rPr>
          <w:rFonts w:hint="eastAsia" w:ascii="微软雅黑" w:hAnsi="微软雅黑" w:eastAsia="微软雅黑" w:cs="微软雅黑"/>
          <w:b/>
          <w:bCs/>
          <w:color w:val="auto"/>
          <w:spacing w:val="0"/>
          <w:w w:val="100"/>
          <w:sz w:val="32"/>
          <w:szCs w:val="32"/>
        </w:rPr>
        <w:t>三、竞赛内容</w:t>
      </w:r>
      <w:bookmarkEnd w:id="14"/>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本次竞赛主要考核参赛选手以下知识和技能：</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1）物联网系统原理</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2）物联网软硬件技术规范</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3）物联网系统组成与建设方法</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4）物联网系统配置（包括硬件设备及云平台）</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r>
        <w:rPr>
          <w:rFonts w:hint="eastAsia" w:ascii="微软雅黑" w:hAnsi="微软雅黑" w:eastAsia="微软雅黑" w:cs="微软雅黑"/>
          <w:color w:val="auto"/>
          <w:spacing w:val="0"/>
          <w:w w:val="100"/>
          <w:sz w:val="28"/>
          <w:szCs w:val="28"/>
        </w:rPr>
        <w:t>5）物联网平台接口及应用</w:t>
      </w:r>
    </w:p>
    <w:p>
      <w:pPr>
        <w:pStyle w:val="4"/>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contextualSpacing/>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本次竞赛包含以下模块：</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53"/>
        <w:gridCol w:w="3225"/>
        <w:gridCol w:w="1053"/>
        <w:gridCol w:w="101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考核模块名称</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考核知识点及内容</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考核形式</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考核时长</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分值占比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A．理论考核</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根据职业标准要求的相关理论，进行知识题目作答考核</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机考答题</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20分钟</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20%</w:t>
            </w:r>
            <w:bookmarkStart w:id="15" w:name="物联网理论分值占比"/>
          </w:p>
          <w:bookmarkEnd w:id="15"/>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B．物联网项目设计与实现</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根据需求，设计并搭建物联网系统，实现项目主体逻辑及功能</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实操</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180分钟</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C．物联网项目升级与优化</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根据需求，对项目结构、配置等进行升级优化</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实操</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120分钟</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D．云平台应用与开发</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根据需求设计系统组态及用户功能开发</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实操</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120分钟</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7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E．综合素养</w:t>
            </w:r>
          </w:p>
        </w:tc>
        <w:tc>
          <w:tcPr>
            <w:tcW w:w="1939"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对竞赛过程中，各组选手的职业素养进行综合评定</w:t>
            </w:r>
          </w:p>
        </w:tc>
        <w:tc>
          <w:tcPr>
            <w:tcW w:w="633"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实操</w:t>
            </w:r>
          </w:p>
        </w:tc>
        <w:tc>
          <w:tcPr>
            <w:tcW w:w="608"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过程考核</w:t>
            </w:r>
          </w:p>
        </w:tc>
        <w:tc>
          <w:tcPr>
            <w:tcW w:w="644" w:type="pct"/>
            <w:vAlign w:val="center"/>
          </w:tcPr>
          <w:p>
            <w:pPr>
              <w:pStyle w:val="17"/>
              <w:pageBreakBefore w:val="0"/>
              <w:kinsoku/>
              <w:wordWrap/>
              <w:overflowPunct/>
              <w:topLinePunct w:val="0"/>
              <w:autoSpaceDE/>
              <w:autoSpaceDN/>
              <w:bidi w:val="0"/>
              <w:adjustRightInd w:val="0"/>
              <w:snapToGrid w:val="0"/>
              <w:spacing w:after="0" w:line="240" w:lineRule="auto"/>
              <w:ind w:left="0" w:firstLine="0" w:firstLineChars="0"/>
              <w:contextualSpacing/>
              <w:jc w:val="center"/>
              <w:textAlignment w:val="auto"/>
              <w:outlineLvl w:val="9"/>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5%</w:t>
            </w:r>
          </w:p>
        </w:tc>
      </w:tr>
    </w:tbl>
    <w:p>
      <w:pPr>
        <w:keepNext w:val="0"/>
        <w:keepLines w:val="0"/>
        <w:pageBreakBefore w:val="0"/>
        <w:widowControl w:val="0"/>
        <w:kinsoku/>
        <w:wordWrap/>
        <w:overflowPunct/>
        <w:topLinePunct w:val="0"/>
        <w:autoSpaceDE/>
        <w:autoSpaceDN/>
        <w:bidi w:val="0"/>
        <w:adjustRightInd w:val="0"/>
        <w:snapToGrid w:val="0"/>
        <w:spacing w:line="240" w:lineRule="auto"/>
        <w:contextualSpacing/>
        <w:textAlignment w:val="auto"/>
        <w:outlineLvl w:val="9"/>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参赛队比赛需要进行硬件设备的安装调试、网络设备连接配置、软件系统部署维护、用户场景演示操作和网络设备连接与配置、搭建、串口配置、路由配置等各类接入IOT智能网络的终端配置，并完成竞赛任务书上的竞赛内容，包括：</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0" w:firstLine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在规定的时间内完成理论考试并提交</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0" w:firstLine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选择系统搭建所需要的模块和产品</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0" w:firstLine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项目链路布局图绘制、项目文档的编写</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设计系统布局图，并在现场模拟系统上，安装固定物联网设备及相关附件</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sz w:val="28"/>
          <w:szCs w:val="28"/>
        </w:rPr>
        <w:t>安装和调试物联网设备的电路，进行模块设置，排除各类系统故障，实现所有设备正常供电，信号采集和动作；</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连接和配置物联网设备模块的网络连接，包括有线连接和无线连接模式，检测连接状态，优化网络布局；</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7）</w:t>
      </w:r>
      <w:r>
        <w:rPr>
          <w:rFonts w:hint="eastAsia" w:ascii="微软雅黑" w:hAnsi="微软雅黑" w:eastAsia="微软雅黑" w:cs="微软雅黑"/>
          <w:sz w:val="28"/>
          <w:szCs w:val="28"/>
        </w:rPr>
        <w:t>配置物联网网关和服务器管理平台；</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8）</w:t>
      </w:r>
      <w:r>
        <w:rPr>
          <w:rFonts w:hint="eastAsia" w:ascii="微软雅黑" w:hAnsi="微软雅黑" w:eastAsia="微软雅黑" w:cs="微软雅黑"/>
          <w:sz w:val="28"/>
          <w:szCs w:val="28"/>
        </w:rPr>
        <w:t>进行系统物联网接口的应用开发；</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contextualSpacing/>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9）</w:t>
      </w:r>
      <w:r>
        <w:rPr>
          <w:rFonts w:hint="eastAsia" w:ascii="微软雅黑" w:hAnsi="微软雅黑" w:eastAsia="微软雅黑" w:cs="微软雅黑"/>
          <w:sz w:val="28"/>
          <w:szCs w:val="28"/>
        </w:rPr>
        <w:t>编写用户使用指南。</w:t>
      </w:r>
    </w:p>
    <w:p>
      <w:pPr>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br w:type="page"/>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0"/>
        <w:rPr>
          <w:rFonts w:hint="eastAsia" w:ascii="微软雅黑" w:hAnsi="微软雅黑" w:eastAsia="微软雅黑" w:cs="微软雅黑"/>
          <w:b/>
          <w:bCs/>
          <w:sz w:val="32"/>
          <w:szCs w:val="32"/>
          <w:lang w:val="en-US" w:eastAsia="zh-CN"/>
        </w:rPr>
      </w:pPr>
      <w:bookmarkStart w:id="16" w:name="四、竞赛方式 "/>
      <w:bookmarkEnd w:id="16"/>
      <w:bookmarkStart w:id="17" w:name="_Toc7330"/>
      <w:r>
        <w:rPr>
          <w:rFonts w:hint="eastAsia" w:ascii="微软雅黑" w:hAnsi="微软雅黑" w:eastAsia="微软雅黑" w:cs="微软雅黑"/>
          <w:b/>
          <w:bCs/>
          <w:sz w:val="32"/>
          <w:szCs w:val="32"/>
          <w:lang w:val="en-US" w:eastAsia="zh-CN"/>
        </w:rPr>
        <w:t>四、评分标准</w:t>
      </w:r>
      <w:bookmarkEnd w:id="17"/>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本次竞赛评分标准分为测量、评价和排序三类。凡可采用客观数据表述的评判称为测量；凡需要采用主观描述进行的评判称为评价；凡需要采用所在分组全体参赛选手作品成果优劣排序评价进行的评判称为排序。</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1）测量分（Measurement, 客观，缩写M）</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测量分打分方式：按模块设置若干个评分组，每组由 2 名及以上裁判构成。每个组所有裁判一起商议，在对该选手在该项中的实际得分达成一致后最终只给出一个分值。若裁判数量较多，也可以另定分组模式。</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2）评价分（Judgement, 主观，标准参照评价，缩写J）：</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按模块设置若干个评分组，每组由 3名及以上裁判构成。每个组所有裁判共同讨论选手作品的优劣，参照评分标准要求各自独立为选手的作品进行权重评分。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计算出平均权重分（裁判权重评分之和需除以本组裁判数）后再乘以该子项的分值计算出实际得分。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裁判权重评分相互间分差必须小于等于1分，否则需要给出确切理由并在裁判长的监督下进行调分。</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0 分 </w:t>
      </w:r>
      <w:r>
        <w:rPr>
          <w:rFonts w:hint="eastAsia" w:ascii="微软雅黑" w:hAnsi="微软雅黑" w:eastAsia="微软雅黑" w:cs="微软雅黑"/>
          <w:sz w:val="28"/>
          <w:szCs w:val="28"/>
          <w:lang w:val="en-US" w:eastAsia="zh-CN"/>
        </w:rPr>
        <w:tab/>
      </w:r>
      <w:r>
        <w:rPr>
          <w:rFonts w:hint="eastAsia" w:ascii="微软雅黑" w:hAnsi="微软雅黑" w:eastAsia="微软雅黑" w:cs="微软雅黑"/>
          <w:sz w:val="28"/>
          <w:szCs w:val="28"/>
          <w:lang w:val="en-US" w:eastAsia="zh-CN"/>
        </w:rPr>
        <w:t xml:space="preserve">各方面均低于行业标准，包括“未做尝试”或不可接受 </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1 分 </w:t>
      </w:r>
      <w:r>
        <w:rPr>
          <w:rFonts w:hint="eastAsia" w:ascii="微软雅黑" w:hAnsi="微软雅黑" w:eastAsia="微软雅黑" w:cs="微软雅黑"/>
          <w:sz w:val="28"/>
          <w:szCs w:val="28"/>
          <w:lang w:val="en-US" w:eastAsia="zh-CN"/>
        </w:rPr>
        <w:tab/>
      </w:r>
      <w:r>
        <w:rPr>
          <w:rFonts w:hint="eastAsia" w:ascii="微软雅黑" w:hAnsi="微软雅黑" w:eastAsia="微软雅黑" w:cs="微软雅黑"/>
          <w:sz w:val="28"/>
          <w:szCs w:val="28"/>
          <w:lang w:val="en-US" w:eastAsia="zh-CN"/>
        </w:rPr>
        <w:t xml:space="preserve">达到行业标准 </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2 分 </w:t>
      </w:r>
      <w:r>
        <w:rPr>
          <w:rFonts w:hint="eastAsia" w:ascii="微软雅黑" w:hAnsi="微软雅黑" w:eastAsia="微软雅黑" w:cs="微软雅黑"/>
          <w:sz w:val="28"/>
          <w:szCs w:val="28"/>
          <w:lang w:val="en-US" w:eastAsia="zh-CN"/>
        </w:rPr>
        <w:tab/>
      </w:r>
      <w:r>
        <w:rPr>
          <w:rFonts w:hint="eastAsia" w:ascii="微软雅黑" w:hAnsi="微软雅黑" w:eastAsia="微软雅黑" w:cs="微软雅黑"/>
          <w:sz w:val="28"/>
          <w:szCs w:val="28"/>
          <w:lang w:val="en-US" w:eastAsia="zh-CN"/>
        </w:rPr>
        <w:t xml:space="preserve">达到行业标准，且某些方面超过标准 </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3分</w:t>
      </w:r>
      <w:r>
        <w:rPr>
          <w:rFonts w:hint="eastAsia" w:ascii="微软雅黑" w:hAnsi="微软雅黑" w:eastAsia="微软雅黑" w:cs="微软雅黑"/>
          <w:sz w:val="28"/>
          <w:szCs w:val="28"/>
          <w:lang w:val="en-US" w:eastAsia="zh-CN"/>
        </w:rPr>
        <w:tab/>
      </w:r>
      <w:r>
        <w:rPr>
          <w:rFonts w:hint="eastAsia" w:ascii="微软雅黑" w:hAnsi="微软雅黑" w:eastAsia="微软雅黑" w:cs="微软雅黑"/>
          <w:sz w:val="28"/>
          <w:szCs w:val="28"/>
          <w:lang w:val="en-US" w:eastAsia="zh-CN"/>
        </w:rPr>
        <w:t>完美</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3）排序分（Sorting，主观，常模参照评价，缩写S）</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选取3名及以上裁判员组成子项裁判组评价M组选手，本组所有裁判共同讨论选手作品的优劣，参照评分标准要求各自独立对选手的作品进行排序，最好的选手作品排第 1 名，最差的选手作品排倒数第 1 名，以此类推，排名不得并列。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对每一个参赛选手的排名数据进行累加，累加值最小的选手排名第一，累加值最大的选手排名最后，以此类推。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若存在累加值相同的选手，则由本组所有评分裁判共同投票决定累加值相同选手的排名，若投票裁判数为偶数，则投票前抽取1名裁判不参与投票。最终M组选手分别获得第1至第M名的最终排名，排名不得并列。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最终排名第1的选手的子项得分为满分，最终排名第2的选手的子项得分为满分的99%，最终排名第3的选手的子项得分为满分的98%，以此类推。</w:t>
      </w: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snapToGrid w:val="0"/>
        <w:spacing w:line="240" w:lineRule="auto"/>
        <w:ind w:left="0" w:leftChars="0" w:firstLine="0" w:firstLineChars="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4）成绩并列处理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当比赛现场出现选手总成绩并列时，裁判组首先将按照模块评分优先级不同的方式决定选手总成绩排名，第一评分优先级由大到小排序：实操模块&gt;理论模块, 第二评分优先级由大到小排序：M1&gt;M2&gt;…&gt;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M10&gt;J1&gt;J2&gt;J3&gt;S1,先比较第一优先级再比较第二优先级，优先级高模块评分高的选手总成绩排名在前。</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560" w:firstLineChars="200"/>
        <w:contextualSpacing/>
        <w:jc w:val="left"/>
        <w:textAlignment w:val="auto"/>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评分优先级比较仍不能区分选手总成绩排名时，由所有评分裁判对该组排名相同选手的实操比赛模块所有主观评分项（评价和排序）进行综合评价投票，若投票裁判数为偶数，则投票前抽取1名裁判不参与投票。投票领先的选手总成绩排名在前。</w:t>
      </w:r>
    </w:p>
    <w:p>
      <w:pPr>
        <w:outlineLvl w:val="9"/>
        <w:rPr>
          <w:rFonts w:hint="eastAsia" w:ascii="微软雅黑" w:hAnsi="微软雅黑" w:eastAsia="微软雅黑" w:cs="微软雅黑"/>
          <w:b/>
          <w:bCs/>
          <w:color w:val="auto"/>
          <w:spacing w:val="0"/>
          <w:w w:val="100"/>
          <w:sz w:val="32"/>
          <w:szCs w:val="32"/>
        </w:rPr>
      </w:pPr>
      <w:r>
        <w:rPr>
          <w:rFonts w:hint="eastAsia" w:ascii="微软雅黑" w:hAnsi="微软雅黑" w:eastAsia="微软雅黑" w:cs="微软雅黑"/>
          <w:b/>
          <w:bCs/>
          <w:color w:val="auto"/>
          <w:spacing w:val="0"/>
          <w:w w:val="100"/>
          <w:sz w:val="32"/>
          <w:szCs w:val="32"/>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8" w:name="_Toc4092"/>
      <w:r>
        <w:rPr>
          <w:rFonts w:hint="eastAsia" w:ascii="微软雅黑" w:hAnsi="微软雅黑" w:eastAsia="微软雅黑" w:cs="微软雅黑"/>
          <w:b/>
          <w:bCs/>
          <w:color w:val="auto"/>
          <w:spacing w:val="0"/>
          <w:w w:val="100"/>
          <w:sz w:val="32"/>
          <w:szCs w:val="32"/>
          <w:lang w:val="en-US" w:eastAsia="zh-CN"/>
        </w:rPr>
        <w:t>五</w:t>
      </w:r>
      <w:r>
        <w:rPr>
          <w:rFonts w:hint="eastAsia" w:ascii="微软雅黑" w:hAnsi="微软雅黑" w:eastAsia="微软雅黑" w:cs="微软雅黑"/>
          <w:b/>
          <w:bCs/>
          <w:color w:val="auto"/>
          <w:spacing w:val="0"/>
          <w:w w:val="100"/>
          <w:sz w:val="32"/>
          <w:szCs w:val="32"/>
        </w:rPr>
        <w:t>、技术平台</w:t>
      </w:r>
      <w:bookmarkEnd w:id="18"/>
    </w:p>
    <w:tbl>
      <w:tblPr>
        <w:tblStyle w:val="8"/>
        <w:tblW w:w="4998" w:type="pct"/>
        <w:tblInd w:w="0" w:type="dxa"/>
        <w:shd w:val="clear" w:color="auto" w:fill="auto"/>
        <w:tblLayout w:type="autofit"/>
        <w:tblCellMar>
          <w:top w:w="0" w:type="dxa"/>
          <w:left w:w="108" w:type="dxa"/>
          <w:bottom w:w="0" w:type="dxa"/>
          <w:right w:w="108" w:type="dxa"/>
        </w:tblCellMar>
      </w:tblPr>
      <w:tblGrid>
        <w:gridCol w:w="842"/>
        <w:gridCol w:w="3651"/>
        <w:gridCol w:w="2316"/>
        <w:gridCol w:w="900"/>
        <w:gridCol w:w="810"/>
      </w:tblGrid>
      <w:tr>
        <w:tblPrEx>
          <w:tblCellMar>
            <w:top w:w="0" w:type="dxa"/>
            <w:left w:w="108" w:type="dxa"/>
            <w:bottom w:w="0" w:type="dxa"/>
            <w:right w:w="108" w:type="dxa"/>
          </w:tblCellMar>
        </w:tblPrEx>
        <w:trPr>
          <w:trHeight w:val="360" w:hRule="atLeast"/>
        </w:trPr>
        <w:tc>
          <w:tcPr>
            <w:tcW w:w="49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ascii="微软雅黑" w:hAnsi="微软雅黑" w:eastAsia="微软雅黑" w:cs="微软雅黑"/>
                <w:i w:val="0"/>
                <w:iCs w:val="0"/>
                <w:color w:val="000000"/>
                <w:sz w:val="24"/>
                <w:szCs w:val="24"/>
                <w:u w:val="none"/>
              </w:rPr>
            </w:pPr>
            <w:bookmarkStart w:id="19" w:name="八、技术支持单位联系方式："/>
            <w:bookmarkEnd w:id="19"/>
            <w:r>
              <w:rPr>
                <w:rFonts w:hint="eastAsia" w:ascii="微软雅黑" w:hAnsi="微软雅黑" w:eastAsia="微软雅黑" w:cs="微软雅黑"/>
                <w:i w:val="0"/>
                <w:iCs w:val="0"/>
                <w:color w:val="000000"/>
                <w:kern w:val="0"/>
                <w:sz w:val="24"/>
                <w:szCs w:val="24"/>
                <w:u w:val="none"/>
                <w:lang w:val="en-US" w:eastAsia="zh-CN" w:bidi="ar"/>
              </w:rPr>
              <w:t>序号</w:t>
            </w:r>
          </w:p>
        </w:tc>
        <w:tc>
          <w:tcPr>
            <w:tcW w:w="214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设备名称</w:t>
            </w:r>
          </w:p>
        </w:tc>
        <w:tc>
          <w:tcPr>
            <w:tcW w:w="135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型号</w:t>
            </w:r>
          </w:p>
        </w:tc>
        <w:tc>
          <w:tcPr>
            <w:tcW w:w="5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单位</w:t>
            </w:r>
          </w:p>
        </w:tc>
        <w:tc>
          <w:tcPr>
            <w:tcW w:w="47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184"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物联网实训平台系统1.0</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ITS-IOT-PFBSA</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90"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物联网实训云平台V1.0</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ITS-IOT-PFCLA</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90"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物联网实训平台工具包1.0</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ITS-IOT-PKTOA</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90"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物联网实训平台耗材包1.0</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ITS-IOT-PKCSA</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90"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5</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智慧农业场景包1.0</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ITS-IOT-PKFMA</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90" w:hRule="atLeast"/>
        </w:trPr>
        <w:tc>
          <w:tcPr>
            <w:tcW w:w="49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c>
          <w:tcPr>
            <w:tcW w:w="214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物联网考试及工作用计算机</w:t>
            </w:r>
          </w:p>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（2台/套）</w:t>
            </w:r>
          </w:p>
        </w:tc>
        <w:tc>
          <w:tcPr>
            <w:tcW w:w="13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w:t>
            </w:r>
          </w:p>
        </w:tc>
        <w:tc>
          <w:tcPr>
            <w:tcW w:w="5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套</w:t>
            </w:r>
          </w:p>
        </w:tc>
        <w:tc>
          <w:tcPr>
            <w:tcW w:w="47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bl>
    <w:p>
      <w:pPr>
        <w:keepNext w:val="0"/>
        <w:keepLines w:val="0"/>
        <w:pageBreakBefore w:val="0"/>
        <w:kinsoku/>
        <w:wordWrap/>
        <w:overflowPunct/>
        <w:topLinePunct w:val="0"/>
        <w:autoSpaceDE/>
        <w:autoSpaceDN/>
        <w:bidi w:val="0"/>
        <w:adjustRightInd w:val="0"/>
        <w:snapToGrid w:val="0"/>
        <w:spacing w:line="240" w:lineRule="auto"/>
        <w:ind w:left="0" w:firstLine="0" w:firstLineChars="0"/>
        <w:contextualSpacing/>
        <w:jc w:val="left"/>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计算机硬件环境</w:t>
      </w:r>
    </w:p>
    <w:p>
      <w:pPr>
        <w:keepNext w:val="0"/>
        <w:keepLines w:val="0"/>
        <w:pageBreakBefore w:val="0"/>
        <w:kinsoku/>
        <w:wordWrap/>
        <w:overflowPunct/>
        <w:topLinePunct w:val="0"/>
        <w:autoSpaceDE/>
        <w:autoSpaceDN/>
        <w:bidi w:val="0"/>
        <w:adjustRightInd w:val="0"/>
        <w:snapToGrid w:val="0"/>
        <w:spacing w:line="240" w:lineRule="auto"/>
        <w:ind w:left="0" w:firstLine="0" w:firstLineChars="0"/>
        <w:contextualSpacing/>
        <w:jc w:val="left"/>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CPU </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t>不低于Core双核  2.0Ghz</w:t>
      </w:r>
    </w:p>
    <w:p>
      <w:pPr>
        <w:keepNext w:val="0"/>
        <w:keepLines w:val="0"/>
        <w:pageBreakBefore w:val="0"/>
        <w:kinsoku/>
        <w:wordWrap/>
        <w:overflowPunct/>
        <w:topLinePunct w:val="0"/>
        <w:autoSpaceDE/>
        <w:autoSpaceDN/>
        <w:bidi w:val="0"/>
        <w:adjustRightInd w:val="0"/>
        <w:snapToGrid w:val="0"/>
        <w:spacing w:line="240" w:lineRule="auto"/>
        <w:ind w:left="0" w:firstLine="0" w:firstLineChars="0"/>
        <w:contextualSpacing/>
        <w:jc w:val="left"/>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内存</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t xml:space="preserve">不低于4.00 GB </w:t>
      </w:r>
    </w:p>
    <w:p>
      <w:pPr>
        <w:keepNext w:val="0"/>
        <w:keepLines w:val="0"/>
        <w:pageBreakBefore w:val="0"/>
        <w:kinsoku/>
        <w:wordWrap/>
        <w:overflowPunct/>
        <w:topLinePunct w:val="0"/>
        <w:autoSpaceDE/>
        <w:autoSpaceDN/>
        <w:bidi w:val="0"/>
        <w:adjustRightInd w:val="0"/>
        <w:snapToGrid w:val="0"/>
        <w:spacing w:line="240" w:lineRule="auto"/>
        <w:ind w:left="0" w:firstLine="0" w:firstLineChars="0"/>
        <w:contextualSpacing/>
        <w:jc w:val="left"/>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硬盘</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t>不低于256G</w:t>
      </w:r>
    </w:p>
    <w:p>
      <w:pPr>
        <w:keepNext w:val="0"/>
        <w:keepLines w:val="0"/>
        <w:pageBreakBefore w:val="0"/>
        <w:kinsoku/>
        <w:wordWrap/>
        <w:overflowPunct/>
        <w:topLinePunct w:val="0"/>
        <w:autoSpaceDE/>
        <w:autoSpaceDN/>
        <w:bidi w:val="0"/>
        <w:adjustRightInd w:val="0"/>
        <w:snapToGrid w:val="0"/>
        <w:spacing w:line="240" w:lineRule="auto"/>
        <w:ind w:left="0" w:firstLine="0" w:firstLineChars="0"/>
        <w:contextualSpacing/>
        <w:jc w:val="left"/>
        <w:textAlignment w:val="auto"/>
        <w:outlineLvl w:val="9"/>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rPr>
        <w:t>端口</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t>1个以太网口</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2个USB端口</w:t>
      </w:r>
    </w:p>
    <w:tbl>
      <w:tblPr>
        <w:tblStyle w:val="8"/>
        <w:tblW w:w="4998" w:type="pct"/>
        <w:tblInd w:w="0" w:type="dxa"/>
        <w:shd w:val="clear" w:color="auto" w:fill="auto"/>
        <w:tblLayout w:type="autofit"/>
        <w:tblCellMar>
          <w:top w:w="0" w:type="dxa"/>
          <w:left w:w="108" w:type="dxa"/>
          <w:bottom w:w="0" w:type="dxa"/>
          <w:right w:w="108" w:type="dxa"/>
        </w:tblCellMar>
      </w:tblPr>
      <w:tblGrid>
        <w:gridCol w:w="1880"/>
        <w:gridCol w:w="1882"/>
        <w:gridCol w:w="1595"/>
        <w:gridCol w:w="3162"/>
      </w:tblGrid>
      <w:tr>
        <w:tblPrEx>
          <w:shd w:val="clear" w:color="auto" w:fill="auto"/>
          <w:tblCellMar>
            <w:top w:w="0" w:type="dxa"/>
            <w:left w:w="108" w:type="dxa"/>
            <w:bottom w:w="0" w:type="dxa"/>
            <w:right w:w="108" w:type="dxa"/>
          </w:tblCellMar>
        </w:tblPrEx>
        <w:trPr>
          <w:trHeight w:val="435" w:hRule="atLeast"/>
        </w:trPr>
        <w:tc>
          <w:tcPr>
            <w:tcW w:w="110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序号</w:t>
            </w:r>
          </w:p>
        </w:tc>
        <w:tc>
          <w:tcPr>
            <w:tcW w:w="110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类型</w:t>
            </w:r>
          </w:p>
        </w:tc>
        <w:tc>
          <w:tcPr>
            <w:tcW w:w="2791"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描述</w:t>
            </w:r>
          </w:p>
        </w:tc>
      </w:tr>
      <w:tr>
        <w:tblPrEx>
          <w:tblCellMar>
            <w:top w:w="0" w:type="dxa"/>
            <w:left w:w="108" w:type="dxa"/>
            <w:bottom w:w="0" w:type="dxa"/>
            <w:right w:w="108" w:type="dxa"/>
          </w:tblCellMar>
        </w:tblPrEx>
        <w:trPr>
          <w:trHeight w:val="90" w:hRule="atLeast"/>
        </w:trPr>
        <w:tc>
          <w:tcPr>
            <w:tcW w:w="110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110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操作系统</w:t>
            </w:r>
          </w:p>
        </w:tc>
        <w:tc>
          <w:tcPr>
            <w:tcW w:w="93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计算机</w:t>
            </w:r>
          </w:p>
        </w:tc>
        <w:tc>
          <w:tcPr>
            <w:tcW w:w="185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Windows 10专业版64位</w:t>
            </w:r>
          </w:p>
        </w:tc>
      </w:tr>
      <w:tr>
        <w:tblPrEx>
          <w:tblCellMar>
            <w:top w:w="0" w:type="dxa"/>
            <w:left w:w="108" w:type="dxa"/>
            <w:bottom w:w="0" w:type="dxa"/>
            <w:right w:w="108" w:type="dxa"/>
          </w:tblCellMar>
        </w:tblPrEx>
        <w:trPr>
          <w:trHeight w:val="707" w:hRule="atLeast"/>
        </w:trPr>
        <w:tc>
          <w:tcPr>
            <w:tcW w:w="110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110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软件环境</w:t>
            </w:r>
          </w:p>
        </w:tc>
        <w:tc>
          <w:tcPr>
            <w:tcW w:w="27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Chrome浏览器</w:t>
            </w:r>
          </w:p>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串口调试软件</w:t>
            </w:r>
          </w:p>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网关调试工具</w:t>
            </w:r>
          </w:p>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DAM调试工具</w:t>
            </w:r>
          </w:p>
          <w:p>
            <w:pPr>
              <w:keepNext w:val="0"/>
              <w:keepLines w:val="0"/>
              <w:widowControl/>
              <w:suppressLineNumbers w:val="0"/>
              <w:spacing w:line="240" w:lineRule="auto"/>
              <w:jc w:val="center"/>
              <w:textAlignment w:val="center"/>
              <w:outlineLvl w:val="9"/>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VISIO2013绘图软件</w:t>
            </w:r>
          </w:p>
        </w:tc>
      </w:tr>
    </w:tbl>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bookmarkStart w:id="20" w:name="_Toc4275"/>
      <w:r>
        <w:rPr>
          <w:rFonts w:hint="eastAsia" w:ascii="微软雅黑" w:hAnsi="微软雅黑" w:eastAsia="微软雅黑" w:cs="微软雅黑"/>
          <w:b/>
          <w:bCs/>
          <w:color w:val="auto"/>
          <w:spacing w:val="0"/>
          <w:w w:val="100"/>
          <w:sz w:val="32"/>
          <w:szCs w:val="32"/>
          <w:lang w:val="en-US" w:eastAsia="zh-CN"/>
        </w:rPr>
        <w:t>六、疫情防控要求</w:t>
      </w:r>
      <w:bookmarkEnd w:id="20"/>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b w:val="0"/>
          <w:bCs w:val="0"/>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lang w:val="en-US" w:eastAsia="zh-CN"/>
        </w:rPr>
        <w:t>根据国家及当地疫情防控的相关规定，做好赛前集中技术工作对接、比赛报到、住宿、交通，以及赛场人流控制、核酸检测、体温检测等环节的相关防疫工作。如体温检测≥37.3℃，引导至所设临时隔离等候区域，参赛人员暂停竞赛活动并马上报告组委会，按照疫情防控处置流程将发热人员送至就近指定医疗机构的发热门诊就诊。如医疗机构确定其无问题可返回参赛(受此影响的竞赛时间不补)。</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b w:val="0"/>
          <w:bCs w:val="0"/>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lang w:val="en-US" w:eastAsia="zh-CN"/>
        </w:rPr>
        <w:t>任何参赛选手和其他人员须遵照执行防疫工作相关措施要求，如：全程佩戴口罩、保持安全距离；防疫物品自备，一次性医用口罩使用完毕后，须丢弃到专用垃圾桶。</w:t>
      </w: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21" w:name="_Toc7020"/>
      <w:r>
        <w:rPr>
          <w:rFonts w:hint="eastAsia" w:ascii="微软雅黑" w:hAnsi="微软雅黑" w:eastAsia="微软雅黑" w:cs="微软雅黑"/>
          <w:b/>
          <w:bCs/>
          <w:color w:val="auto"/>
          <w:spacing w:val="0"/>
          <w:w w:val="100"/>
          <w:sz w:val="32"/>
          <w:szCs w:val="32"/>
          <w:lang w:val="en-US" w:eastAsia="zh-CN"/>
        </w:rPr>
        <w:t>七</w:t>
      </w:r>
      <w:r>
        <w:rPr>
          <w:rFonts w:hint="eastAsia" w:ascii="微软雅黑" w:hAnsi="微软雅黑" w:eastAsia="微软雅黑" w:cs="微软雅黑"/>
          <w:b/>
          <w:bCs/>
          <w:color w:val="auto"/>
          <w:spacing w:val="0"/>
          <w:w w:val="100"/>
          <w:sz w:val="32"/>
          <w:szCs w:val="32"/>
        </w:rPr>
        <w:t>、技术支持单位联系方式：</w:t>
      </w:r>
      <w:bookmarkEnd w:id="21"/>
      <w:bookmarkStart w:id="22" w:name="智科智能技术研究院有限公司 陈柯帆 13771197522 （微信同号）"/>
      <w:bookmarkEnd w:id="22"/>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b/>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rPr>
        <w:t>智科智能技术研究院有限公司</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陈柯帆</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13771197522</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（微信同号</w:t>
      </w:r>
      <w:r>
        <w:rPr>
          <w:rFonts w:hint="eastAsia" w:ascii="微软雅黑" w:hAnsi="微软雅黑" w:eastAsia="微软雅黑" w:cs="微软雅黑"/>
          <w:b w:val="0"/>
          <w:bCs w:val="0"/>
          <w:color w:val="auto"/>
          <w:spacing w:val="0"/>
          <w:w w:val="100"/>
          <w:sz w:val="28"/>
          <w:szCs w:val="28"/>
          <w:lang w:eastAsia="zh-CN"/>
        </w:rPr>
        <w:t>）</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62DD1"/>
    <w:rsid w:val="108E3AA0"/>
    <w:rsid w:val="4D197683"/>
    <w:rsid w:val="63162DD1"/>
    <w:rsid w:val="737C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1"/>
    <w:pPr>
      <w:ind w:left="520"/>
      <w:outlineLvl w:val="3"/>
    </w:pPr>
    <w:rPr>
      <w:rFonts w:ascii="宋体" w:hAnsi="宋体" w:eastAsia="宋体" w:cs="宋体"/>
      <w:b/>
      <w:bCs/>
      <w:sz w:val="27"/>
      <w:szCs w:val="27"/>
      <w:lang w:val="zh-CN" w:eastAsia="zh-CN" w:bidi="zh-CN"/>
    </w:rPr>
  </w:style>
  <w:style w:type="paragraph" w:styleId="3">
    <w:name w:val="heading 4"/>
    <w:basedOn w:val="1"/>
    <w:next w:val="1"/>
    <w:qFormat/>
    <w:uiPriority w:val="1"/>
    <w:pPr>
      <w:spacing w:before="1"/>
      <w:ind w:left="520"/>
      <w:outlineLvl w:val="4"/>
    </w:pPr>
    <w:rPr>
      <w:rFonts w:ascii="宋体" w:hAnsi="宋体" w:eastAsia="宋体" w:cs="宋体"/>
      <w:b/>
      <w:bCs/>
      <w:sz w:val="24"/>
      <w:szCs w:val="24"/>
      <w:lang w:val="zh-CN" w:eastAsia="zh-CN" w:bidi="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footer"/>
    <w:basedOn w:val="1"/>
    <w:qFormat/>
    <w:uiPriority w:val="99"/>
    <w:pPr>
      <w:tabs>
        <w:tab w:val="center" w:pos="4320"/>
        <w:tab w:val="right" w:pos="8640"/>
      </w:tabs>
    </w:p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character" w:styleId="10">
    <w:name w:val="Hyperlink"/>
    <w:basedOn w:val="9"/>
    <w:uiPriority w:val="0"/>
    <w:rPr>
      <w:color w:val="0000FF"/>
      <w:u w:val="single"/>
    </w:rPr>
  </w:style>
  <w:style w:type="paragraph" w:styleId="11">
    <w:name w:val="List Paragraph"/>
    <w:basedOn w:val="1"/>
    <w:qFormat/>
    <w:uiPriority w:val="1"/>
    <w:pPr>
      <w:ind w:left="520" w:firstLine="559"/>
    </w:pPr>
    <w:rPr>
      <w:rFonts w:ascii="仿宋" w:hAnsi="仿宋" w:eastAsia="仿宋" w:cs="仿宋"/>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 w:type="character" w:customStyle="1" w:styleId="13">
    <w:name w:val="font11"/>
    <w:basedOn w:val="9"/>
    <w:qFormat/>
    <w:uiPriority w:val="0"/>
    <w:rPr>
      <w:rFonts w:hint="eastAsia" w:ascii="微软雅黑" w:hAnsi="微软雅黑" w:eastAsia="微软雅黑" w:cs="微软雅黑"/>
      <w:b/>
      <w:bCs/>
      <w:color w:val="000000"/>
      <w:sz w:val="21"/>
      <w:szCs w:val="21"/>
      <w:u w:val="none"/>
    </w:rPr>
  </w:style>
  <w:style w:type="character" w:customStyle="1" w:styleId="14">
    <w:name w:val="font31"/>
    <w:basedOn w:val="9"/>
    <w:qFormat/>
    <w:uiPriority w:val="0"/>
    <w:rPr>
      <w:rFonts w:hint="eastAsia" w:ascii="微软雅黑" w:hAnsi="微软雅黑" w:eastAsia="微软雅黑" w:cs="微软雅黑"/>
      <w:color w:val="000000"/>
      <w:sz w:val="21"/>
      <w:szCs w:val="21"/>
      <w:u w:val="none"/>
    </w:rPr>
  </w:style>
  <w:style w:type="character" w:customStyle="1" w:styleId="15">
    <w:name w:val="font21"/>
    <w:basedOn w:val="9"/>
    <w:qFormat/>
    <w:uiPriority w:val="0"/>
    <w:rPr>
      <w:rFonts w:hint="eastAsia" w:ascii="微软雅黑" w:hAnsi="微软雅黑" w:eastAsia="微软雅黑" w:cs="微软雅黑"/>
      <w:color w:val="000000"/>
      <w:sz w:val="17"/>
      <w:szCs w:val="17"/>
      <w:u w:val="non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彩色列表 - 着色 11"/>
    <w:basedOn w:val="1"/>
    <w:qFormat/>
    <w:uiPriority w:val="99"/>
    <w:pPr>
      <w:spacing w:after="160" w:line="256" w:lineRule="auto"/>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2021-08-20T02:12:00Z</dcterms:created>
  <dc:creator>湮落缪苏</dc:creator>
  <cp:lastModifiedBy>湮落缪苏</cp:lastModifiedBy>
  <dcterms:modified xsi:type="dcterms:W3CDTF">2021-08-20T05:48:28Z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44757DAFAD5F4041A890F0CEAC201973</vt:lpwstr>
  </property>
</Properties>
</file>