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90" w:lineRule="exact"/>
        <w:rPr>
          <w:rFonts w:ascii="Times New Roman" w:hAnsi="Times New Roman" w:eastAsia="方正黑体_GBK"/>
          <w:bCs/>
          <w:sz w:val="32"/>
          <w:szCs w:val="32"/>
        </w:rPr>
      </w:pPr>
      <w:r>
        <w:rPr>
          <w:rFonts w:hint="default" w:ascii="Times New Roman" w:hAnsi="Times New Roman" w:eastAsia="方正黑体_GBK"/>
          <w:bCs/>
          <w:sz w:val="32"/>
          <w:szCs w:val="32"/>
        </w:rPr>
        <w:t>附件</w:t>
      </w:r>
    </w:p>
    <w:p>
      <w:pPr>
        <w:widowControl/>
        <w:spacing w:line="560" w:lineRule="exact"/>
        <w:jc w:val="center"/>
        <w:rPr>
          <w:rFonts w:ascii="Times New Roman" w:hAnsi="Times New Roman" w:eastAsia="方正小标宋_GBK"/>
          <w:bCs/>
          <w:kern w:val="0"/>
          <w:sz w:val="44"/>
          <w:szCs w:val="44"/>
        </w:rPr>
      </w:pPr>
      <w:r>
        <w:rPr>
          <w:rFonts w:ascii="Times New Roman" w:hAnsi="Times New Roman" w:eastAsia="方正小标宋_GBK"/>
          <w:bCs/>
          <w:kern w:val="0"/>
          <w:sz w:val="44"/>
          <w:szCs w:val="44"/>
        </w:rPr>
        <w:t>江苏省工伤保险行业风险分类与费率表</w:t>
      </w:r>
    </w:p>
    <w:p>
      <w:pPr>
        <w:widowControl/>
        <w:spacing w:line="590" w:lineRule="exact"/>
        <w:jc w:val="center"/>
        <w:rPr>
          <w:rFonts w:ascii="Times New Roman" w:hAnsi="Times New Roman" w:eastAsia="仿宋_GB2312"/>
          <w:bCs/>
          <w:kern w:val="0"/>
          <w:sz w:val="44"/>
          <w:szCs w:val="44"/>
        </w:rPr>
      </w:pPr>
    </w:p>
    <w:tbl>
      <w:tblPr>
        <w:tblStyle w:val="3"/>
        <w:tblW w:w="9331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4903"/>
        <w:gridCol w:w="1682"/>
        <w:gridCol w:w="205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tblHeader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/>
                <w:sz w:val="24"/>
                <w:szCs w:val="24"/>
              </w:rPr>
              <w:t>行业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/>
                <w:sz w:val="24"/>
                <w:szCs w:val="24"/>
              </w:rPr>
              <w:t>类别</w:t>
            </w:r>
          </w:p>
        </w:tc>
        <w:tc>
          <w:tcPr>
            <w:tcW w:w="49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/>
                <w:sz w:val="24"/>
                <w:szCs w:val="24"/>
              </w:rPr>
              <w:t>行业名称</w:t>
            </w:r>
          </w:p>
        </w:tc>
        <w:tc>
          <w:tcPr>
            <w:tcW w:w="16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/>
                <w:sz w:val="24"/>
                <w:szCs w:val="24"/>
              </w:rPr>
              <w:t>基准费率（%）</w:t>
            </w:r>
          </w:p>
        </w:tc>
        <w:tc>
          <w:tcPr>
            <w:tcW w:w="20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/>
                <w:sz w:val="24"/>
                <w:szCs w:val="24"/>
              </w:rPr>
              <w:t>浮动费率（%）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5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一</w:t>
            </w:r>
          </w:p>
        </w:tc>
        <w:tc>
          <w:tcPr>
            <w:tcW w:w="49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软件和信息技术服务业，货币金融服务，资本市场服务，保险业，其他金融业，科技推广和应用服务业，社会工作，广播、电视、电影和影视录音制作业，中国共产党机关，国家机构，人民政协、民主党派，社会保障，群众团体、社会团体和其他成员组织，基层群众自治组织，国际组织</w:t>
            </w:r>
          </w:p>
        </w:tc>
        <w:tc>
          <w:tcPr>
            <w:tcW w:w="16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0.2</w:t>
            </w:r>
          </w:p>
        </w:tc>
        <w:tc>
          <w:tcPr>
            <w:tcW w:w="20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上浮一档：0.24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上浮二档：0.3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6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二</w:t>
            </w:r>
          </w:p>
        </w:tc>
        <w:tc>
          <w:tcPr>
            <w:tcW w:w="49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批发业，零售业，仓储业，邮政业，住宿业，餐饮业，电信、广播电视和卫星传输服务，互联网和相关服务，房地产业，租赁业，商务服务业，研究和试验发展，专业技术服务业，居民服务业，其他服务业，教育，卫生，新闻和出版业，文化艺术业</w:t>
            </w:r>
          </w:p>
        </w:tc>
        <w:tc>
          <w:tcPr>
            <w:tcW w:w="16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0.4</w:t>
            </w:r>
          </w:p>
        </w:tc>
        <w:tc>
          <w:tcPr>
            <w:tcW w:w="20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下浮二档：0.2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下浮一档：0.32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上浮一档：0.48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上浮二档：0.6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9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三</w:t>
            </w:r>
          </w:p>
        </w:tc>
        <w:tc>
          <w:tcPr>
            <w:tcW w:w="49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农副食品加工业，食品制造业，酒、饮料和精制茶制造业，烟草制品业，纺织业，木材加工和木、竹、藤、棕、草制品业，文教、工美、体育和娱乐用品制造业，计算机、通信和其他电子设备制造业，仪器仪表制造业，其他制造业，水的生产和供应业，机动车、电子产品和日用产品修理业，水利管理业，生态保护和环境治理业，公共设施管理业，娱乐业</w:t>
            </w:r>
          </w:p>
        </w:tc>
        <w:tc>
          <w:tcPr>
            <w:tcW w:w="16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0.7</w:t>
            </w:r>
          </w:p>
        </w:tc>
        <w:tc>
          <w:tcPr>
            <w:tcW w:w="20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下浮二档：0.35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下浮一档：0.56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上浮一档：0.84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上浮二档：1.05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9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四</w:t>
            </w:r>
          </w:p>
        </w:tc>
        <w:tc>
          <w:tcPr>
            <w:tcW w:w="49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农业，畜牧业，农、林、牧、渔服务业，纺织服装、服饰业，皮革、毛皮、羽毛及其制品和制鞋业，印刷和记录媒介复制业，医药制造业，化学纤维制造业，橡胶和塑料制品业，金属制品业，通用设备制造业，专用设备制造业，汽车制造业，铁路、船舶、航空航天和其他运输设备制造业，电气机械和器材制造业，废弃资源综合利用业，金属制品、机械和设备修理业，电力、热力生产和供应业，燃气生产和供应业，铁路运输业，航空运输业，管道运输业，体育</w:t>
            </w:r>
          </w:p>
        </w:tc>
        <w:tc>
          <w:tcPr>
            <w:tcW w:w="16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0.9</w:t>
            </w:r>
          </w:p>
        </w:tc>
        <w:tc>
          <w:tcPr>
            <w:tcW w:w="20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下浮二档：0.45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下浮一档：0.72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上浮一档：1.08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上浮二档：1.35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6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五</w:t>
            </w:r>
          </w:p>
        </w:tc>
        <w:tc>
          <w:tcPr>
            <w:tcW w:w="49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林业，开采辅助活动，家具制造业，造纸和纸制品业，建筑安装业，建筑装饰和其他建筑业，道路运输业，水上运输业，装卸搬运和运输代理业</w:t>
            </w:r>
          </w:p>
        </w:tc>
        <w:tc>
          <w:tcPr>
            <w:tcW w:w="16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1.1</w:t>
            </w:r>
          </w:p>
        </w:tc>
        <w:tc>
          <w:tcPr>
            <w:tcW w:w="20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下浮二档：0.55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下浮一档：0.88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上浮一档：1.32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上浮二档：1.65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6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六</w:t>
            </w:r>
          </w:p>
        </w:tc>
        <w:tc>
          <w:tcPr>
            <w:tcW w:w="49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渔业，化学原料和化学制品制造业，非金属矿物制品业，黑色金属冶炼和压延加工业，有色金属冶炼和压延加工业，房屋建筑业，土木工程建筑业</w:t>
            </w:r>
          </w:p>
        </w:tc>
        <w:tc>
          <w:tcPr>
            <w:tcW w:w="16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1.3</w:t>
            </w:r>
          </w:p>
        </w:tc>
        <w:tc>
          <w:tcPr>
            <w:tcW w:w="20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下浮二档：0.65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下浮一档：1.04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上浮一档：1.56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上浮二档：1.95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1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七</w:t>
            </w:r>
          </w:p>
        </w:tc>
        <w:tc>
          <w:tcPr>
            <w:tcW w:w="49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石油和天然气开采业，其他采矿业，石油加工、炼焦和核燃料加工业</w:t>
            </w:r>
          </w:p>
        </w:tc>
        <w:tc>
          <w:tcPr>
            <w:tcW w:w="16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1.6</w:t>
            </w:r>
          </w:p>
        </w:tc>
        <w:tc>
          <w:tcPr>
            <w:tcW w:w="20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下浮二档：0.8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下浮一档：1.28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上浮一档：1.92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上浮二档：2.4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八</w:t>
            </w:r>
          </w:p>
        </w:tc>
        <w:tc>
          <w:tcPr>
            <w:tcW w:w="49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煤炭开采和洗选业，黑色金属矿采选业，有色金属矿采选业，非金属矿采选业</w:t>
            </w:r>
          </w:p>
        </w:tc>
        <w:tc>
          <w:tcPr>
            <w:tcW w:w="16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1.9</w:t>
            </w:r>
          </w:p>
        </w:tc>
        <w:tc>
          <w:tcPr>
            <w:tcW w:w="20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下浮二档：0.95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下浮一档：1.52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上浮一档：2.28</w:t>
            </w:r>
          </w:p>
          <w:p>
            <w:pPr>
              <w:spacing w:line="400" w:lineRule="exact"/>
              <w:rPr>
                <w:rFonts w:ascii="Times New Roman" w:hAnsi="Times New Roman" w:eastAsia="方正仿宋_GBK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sz w:val="24"/>
                <w:szCs w:val="24"/>
              </w:rPr>
              <w:t>上浮二档：2.85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8912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2020-12-08T06:16:15Z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