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adjustRightInd w:val="0"/>
        <w:snapToGrid w:val="0"/>
        <w:spacing w:line="580" w:lineRule="exact"/>
        <w:jc w:val="center"/>
        <w:rPr>
          <w:rFonts w:hint="eastAsia"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rPr>
        <w:t>江苏省技工院校校外教学点管理办法（试行）</w:t>
      </w:r>
    </w:p>
    <w:p>
      <w:pPr>
        <w:widowControl/>
        <w:shd w:val="clear" w:color="auto" w:fill="FFFFFF"/>
        <w:adjustRightInd w:val="0"/>
        <w:snapToGrid w:val="0"/>
        <w:spacing w:line="580" w:lineRule="exact"/>
        <w:jc w:val="center"/>
        <w:rPr>
          <w:rFonts w:ascii="方正小标宋简体" w:hAnsi="方正小标宋简体" w:eastAsia="方正小标宋简体" w:cs="方正小标宋简体"/>
          <w:b/>
          <w:kern w:val="0"/>
          <w:sz w:val="32"/>
          <w:szCs w:val="32"/>
        </w:rPr>
      </w:pPr>
    </w:p>
    <w:p>
      <w:pPr>
        <w:widowControl/>
        <w:shd w:val="clear" w:color="auto" w:fill="FFFFFF"/>
        <w:adjustRightInd w:val="0"/>
        <w:snapToGrid w:val="0"/>
        <w:spacing w:line="580" w:lineRule="exact"/>
        <w:jc w:val="center"/>
        <w:rPr>
          <w:rFonts w:ascii="方正小标宋简体" w:hAnsi="方正小标宋简体" w:eastAsia="方正小标宋简体" w:cs="方正小标宋简体"/>
          <w:b/>
          <w:kern w:val="0"/>
          <w:sz w:val="32"/>
          <w:szCs w:val="32"/>
        </w:rPr>
      </w:pPr>
    </w:p>
    <w:p>
      <w:pPr>
        <w:widowControl/>
        <w:numPr>
          <w:ilvl w:val="0"/>
          <w:numId w:val="1"/>
        </w:numPr>
        <w:shd w:val="clear" w:color="auto" w:fill="FFFFFF"/>
        <w:adjustRightInd w:val="0"/>
        <w:snapToGrid w:val="0"/>
        <w:spacing w:line="580" w:lineRule="exact"/>
        <w:jc w:val="center"/>
        <w:rPr>
          <w:rFonts w:ascii="黑体" w:hAnsi="黑体" w:eastAsia="黑体" w:cs="黑体"/>
          <w:bCs/>
          <w:kern w:val="0"/>
          <w:sz w:val="32"/>
          <w:szCs w:val="32"/>
        </w:rPr>
      </w:pPr>
      <w:r>
        <w:rPr>
          <w:rFonts w:hint="eastAsia" w:ascii="黑体" w:hAnsi="黑体" w:eastAsia="黑体" w:cs="黑体"/>
          <w:bCs/>
          <w:kern w:val="0"/>
          <w:sz w:val="32"/>
          <w:szCs w:val="32"/>
        </w:rPr>
        <w:t> 总  则</w:t>
      </w:r>
    </w:p>
    <w:p>
      <w:pPr>
        <w:widowControl/>
        <w:shd w:val="clear" w:color="auto" w:fill="FFFFFF"/>
        <w:adjustRightInd w:val="0"/>
        <w:snapToGrid w:val="0"/>
        <w:spacing w:line="580" w:lineRule="exact"/>
        <w:ind w:firstLine="640"/>
        <w:jc w:val="left"/>
        <w:rPr>
          <w:rFonts w:ascii="方正仿宋简体" w:hAnsi="方正仿宋简体" w:eastAsia="方正仿宋简体" w:cs="方正仿宋简体"/>
          <w:b/>
          <w:bCs/>
          <w:kern w:val="0"/>
          <w:sz w:val="32"/>
          <w:szCs w:val="32"/>
        </w:rPr>
      </w:pPr>
    </w:p>
    <w:p>
      <w:pPr>
        <w:widowControl/>
        <w:shd w:val="clear" w:color="auto" w:fill="FFFFFF"/>
        <w:adjustRightInd w:val="0"/>
        <w:snapToGrid w:val="0"/>
        <w:spacing w:line="580" w:lineRule="exact"/>
        <w:ind w:firstLine="640"/>
        <w:jc w:val="left"/>
        <w:rPr>
          <w:rFonts w:ascii="华文仿宋" w:hAnsi="华文仿宋" w:eastAsia="华文仿宋" w:cs="方正仿宋简体"/>
          <w:kern w:val="0"/>
          <w:sz w:val="32"/>
          <w:szCs w:val="32"/>
        </w:rPr>
      </w:pPr>
      <w:r>
        <w:rPr>
          <w:rFonts w:hint="eastAsia" w:ascii="华文仿宋" w:hAnsi="华文仿宋" w:eastAsia="华文仿宋" w:cs="方正仿宋简体"/>
          <w:b/>
          <w:bCs/>
          <w:kern w:val="0"/>
          <w:sz w:val="32"/>
          <w:szCs w:val="32"/>
        </w:rPr>
        <w:t>第一条</w:t>
      </w:r>
      <w:r>
        <w:rPr>
          <w:rFonts w:hint="eastAsia" w:ascii="华文仿宋" w:hAnsi="华文仿宋" w:eastAsia="华文仿宋" w:cs="方正仿宋简体"/>
          <w:kern w:val="0"/>
          <w:sz w:val="32"/>
          <w:szCs w:val="32"/>
        </w:rPr>
        <w:t xml:space="preserve"> 为进一步规范全省技工院校校外教学点的建设和管理，保证教育质量，促进我省技工教育事业健康发展，根据《中华人民共和国职业教育法》《中华人民共和国民办教育促进法》《江苏省实施﹤中华人民共和国职业教育法﹥办法》等法律法规的规定，结合我省实际，制定本办法。</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bCs/>
          <w:kern w:val="0"/>
          <w:sz w:val="32"/>
          <w:szCs w:val="32"/>
        </w:rPr>
        <w:t>第二条</w:t>
      </w:r>
      <w:r>
        <w:rPr>
          <w:rFonts w:hint="eastAsia" w:ascii="华文仿宋" w:hAnsi="华文仿宋" w:eastAsia="华文仿宋" w:cs="方正仿宋简体"/>
          <w:kern w:val="0"/>
          <w:sz w:val="32"/>
          <w:szCs w:val="32"/>
        </w:rPr>
        <w:t xml:space="preserve"> 本办法所指技工院校校外教学点是指我省批准设立的技工院校，在学校注册办学地址以外，开展全日制技工教育的教学活动场所。</w:t>
      </w:r>
    </w:p>
    <w:p>
      <w:pPr>
        <w:widowControl/>
        <w:shd w:val="clear" w:color="auto" w:fill="FFFFFF"/>
        <w:adjustRightInd w:val="0"/>
        <w:snapToGrid w:val="0"/>
        <w:spacing w:line="580" w:lineRule="exact"/>
        <w:ind w:firstLine="640"/>
        <w:jc w:val="left"/>
        <w:rPr>
          <w:rFonts w:ascii="华文仿宋" w:hAnsi="华文仿宋" w:eastAsia="华文仿宋" w:cs="方正仿宋简体"/>
          <w:kern w:val="0"/>
          <w:sz w:val="32"/>
          <w:szCs w:val="32"/>
        </w:rPr>
      </w:pPr>
      <w:r>
        <w:rPr>
          <w:rFonts w:hint="eastAsia" w:ascii="华文仿宋" w:hAnsi="华文仿宋" w:eastAsia="华文仿宋" w:cs="方正仿宋简体"/>
          <w:b/>
          <w:bCs/>
          <w:kern w:val="0"/>
          <w:sz w:val="32"/>
          <w:szCs w:val="32"/>
        </w:rPr>
        <w:t>第三条</w:t>
      </w:r>
      <w:r>
        <w:rPr>
          <w:rFonts w:hint="eastAsia" w:ascii="华文仿宋" w:hAnsi="华文仿宋" w:eastAsia="华文仿宋" w:cs="方正仿宋简体"/>
          <w:kern w:val="0"/>
          <w:sz w:val="32"/>
          <w:szCs w:val="32"/>
        </w:rPr>
        <w:t xml:space="preserve"> 校外教学点是设置教学点的技工院校（以下简称设点院校），对招生计划内接受全日制技工教育的学生进行专业教学实习、思想政治教育、后勤生活管理的综合服务机构，不得对外衍生其他分支机构，不得以校外教学点名义独立面向社会招生和办学。</w:t>
      </w:r>
      <w:r>
        <w:rPr>
          <w:rFonts w:hint="eastAsia" w:ascii="华文仿宋" w:hAnsi="华文仿宋" w:eastAsia="华文仿宋" w:cs="方正仿宋简体"/>
          <w:kern w:val="0"/>
          <w:sz w:val="32"/>
          <w:szCs w:val="32"/>
          <w:shd w:val="clear" w:color="FFFFFF" w:fill="D9D9D9"/>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bCs/>
          <w:kern w:val="0"/>
          <w:sz w:val="32"/>
          <w:szCs w:val="32"/>
        </w:rPr>
        <w:t>第四条</w:t>
      </w:r>
      <w:r>
        <w:rPr>
          <w:rFonts w:hint="eastAsia" w:ascii="华文仿宋" w:hAnsi="华文仿宋" w:eastAsia="华文仿宋" w:cs="方正仿宋简体"/>
          <w:kern w:val="0"/>
          <w:sz w:val="32"/>
          <w:szCs w:val="32"/>
        </w:rPr>
        <w:t xml:space="preserve"> 校外教学点由设点院校全面管理，执行设点院校各项管理制度，接受批准设置部门的监管和社会监督。</w:t>
      </w:r>
    </w:p>
    <w:p>
      <w:pPr>
        <w:widowControl/>
        <w:shd w:val="clear" w:color="auto" w:fill="FFFFFF"/>
        <w:adjustRightInd w:val="0"/>
        <w:snapToGrid w:val="0"/>
        <w:spacing w:line="580" w:lineRule="exact"/>
        <w:ind w:firstLine="640"/>
        <w:jc w:val="left"/>
        <w:rPr>
          <w:rFonts w:ascii="方正仿宋简体" w:hAnsi="方正仿宋简体" w:eastAsia="方正仿宋简体" w:cs="方正仿宋简体"/>
          <w:kern w:val="0"/>
          <w:sz w:val="32"/>
          <w:szCs w:val="32"/>
        </w:rPr>
      </w:pPr>
    </w:p>
    <w:p>
      <w:pPr>
        <w:widowControl/>
        <w:numPr>
          <w:ilvl w:val="0"/>
          <w:numId w:val="1"/>
        </w:numPr>
        <w:shd w:val="clear" w:color="auto" w:fill="FFFFFF"/>
        <w:adjustRightInd w:val="0"/>
        <w:snapToGrid w:val="0"/>
        <w:spacing w:line="580" w:lineRule="exact"/>
        <w:jc w:val="center"/>
        <w:rPr>
          <w:rFonts w:ascii="黑体" w:hAnsi="黑体" w:eastAsia="黑体" w:cs="黑体"/>
          <w:bCs/>
          <w:kern w:val="0"/>
          <w:sz w:val="32"/>
          <w:szCs w:val="32"/>
        </w:rPr>
      </w:pPr>
      <w:r>
        <w:rPr>
          <w:rFonts w:hint="eastAsia" w:ascii="黑体" w:hAnsi="黑体" w:eastAsia="黑体" w:cs="黑体"/>
          <w:bCs/>
          <w:kern w:val="0"/>
          <w:sz w:val="32"/>
          <w:szCs w:val="32"/>
        </w:rPr>
        <w:t> 校外教学点的设置要求</w:t>
      </w:r>
    </w:p>
    <w:p>
      <w:pPr>
        <w:widowControl/>
        <w:shd w:val="clear" w:color="auto" w:fill="FFFFFF"/>
        <w:adjustRightInd w:val="0"/>
        <w:snapToGrid w:val="0"/>
        <w:spacing w:line="580" w:lineRule="exact"/>
        <w:rPr>
          <w:rFonts w:ascii="黑体" w:hAnsi="黑体" w:eastAsia="黑体" w:cs="黑体"/>
          <w:bCs/>
          <w:kern w:val="0"/>
          <w:sz w:val="32"/>
          <w:szCs w:val="32"/>
        </w:rPr>
      </w:pPr>
    </w:p>
    <w:p>
      <w:pPr>
        <w:ind w:firstLine="643" w:firstLineChars="200"/>
        <w:rPr>
          <w:rFonts w:ascii="华文仿宋" w:hAnsi="华文仿宋" w:eastAsia="华文仿宋" w:cs="方正仿宋简体"/>
          <w:b/>
          <w:bCs/>
          <w:kern w:val="0"/>
          <w:sz w:val="32"/>
          <w:szCs w:val="32"/>
        </w:rPr>
      </w:pPr>
      <w:r>
        <w:rPr>
          <w:rFonts w:hint="eastAsia" w:ascii="华文仿宋" w:hAnsi="华文仿宋" w:eastAsia="华文仿宋" w:cs="方正仿宋简体"/>
          <w:b/>
          <w:bCs/>
          <w:kern w:val="0"/>
          <w:sz w:val="32"/>
          <w:szCs w:val="32"/>
        </w:rPr>
        <w:t>第五条</w:t>
      </w:r>
      <w:r>
        <w:rPr>
          <w:rFonts w:hint="eastAsia" w:ascii="华文仿宋" w:hAnsi="华文仿宋" w:eastAsia="华文仿宋" w:cs="方正仿宋简体"/>
          <w:kern w:val="0"/>
          <w:sz w:val="32"/>
          <w:szCs w:val="32"/>
        </w:rPr>
        <w:t xml:space="preserve">  技工院校原则上不得设置校外教学点，如特殊情况需在本设区市设置校外教学点，须经当地设区市人力资源和社会保障部门评估批准，且不得超过2个，校外教学点人数不得超过审批人数。不得跨市（指设区市，下同）设置校外教学点。　</w:t>
      </w:r>
      <w:r>
        <w:rPr>
          <w:rFonts w:hint="eastAsia" w:ascii="华文仿宋" w:hAnsi="华文仿宋" w:eastAsia="华文仿宋" w:cs="方正仿宋简体"/>
          <w:b/>
          <w:bCs/>
          <w:kern w:val="0"/>
          <w:sz w:val="32"/>
          <w:szCs w:val="32"/>
        </w:rPr>
        <w:t>　</w:t>
      </w:r>
    </w:p>
    <w:p>
      <w:pPr>
        <w:ind w:firstLine="643" w:firstLineChars="200"/>
        <w:rPr>
          <w:rFonts w:ascii="华文仿宋" w:hAnsi="华文仿宋" w:eastAsia="华文仿宋" w:cs="方正仿宋简体"/>
          <w:kern w:val="0"/>
          <w:sz w:val="32"/>
          <w:szCs w:val="32"/>
          <w:shd w:val="clear" w:color="FFFFFF" w:fill="D9D9D9"/>
        </w:rPr>
      </w:pPr>
      <w:r>
        <w:rPr>
          <w:rFonts w:hint="eastAsia" w:ascii="华文仿宋" w:hAnsi="华文仿宋" w:eastAsia="华文仿宋" w:cs="方正仿宋简体"/>
          <w:b/>
          <w:bCs/>
          <w:kern w:val="0"/>
          <w:sz w:val="32"/>
          <w:szCs w:val="32"/>
        </w:rPr>
        <w:t>第六条</w:t>
      </w:r>
      <w:r>
        <w:rPr>
          <w:rFonts w:hint="eastAsia" w:ascii="华文仿宋" w:hAnsi="华文仿宋" w:eastAsia="华文仿宋" w:cs="方正仿宋简体"/>
          <w:kern w:val="0"/>
          <w:sz w:val="32"/>
          <w:szCs w:val="32"/>
        </w:rPr>
        <w:t xml:space="preserve"> 技工院校设置校外教学点应符合以下要求：</w:t>
      </w:r>
    </w:p>
    <w:p>
      <w:pPr>
        <w:snapToGrid w:val="0"/>
        <w:spacing w:line="560" w:lineRule="exact"/>
        <w:ind w:firstLine="640"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kern w:val="0"/>
          <w:sz w:val="32"/>
          <w:szCs w:val="32"/>
        </w:rPr>
        <w:t>（一）设点院校连续三年完成年度招生计划，现有场地无法满足办学需要。</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二）校外教学点应有与办学规模相适应的可合法独立使用的办公、教学、实训和食宿场地。理论课集中教学场地应达500平方米以上（使用面积），教室五间以上，同时每个教学班有固定的教室；实训场地和实训设备能满足实训教学需要，符合劳保、安全、消防、卫生等有关规定及相关教学项目的安全规程；学生的食宿场所应符合安全、消防、卫生等有关规定。</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校外教学点为自有场地的，应具有相应产权；租赁或借用场地的，应有与产权人（或授权使用人）签订的有效协议，租赁期或借用期须确保完成每一届学生的培养，独立封闭管理且无拆迁影响。</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三）校外教学点应由设点院校负责配备与办学规模相适应、结构合理、符合任教资格的专兼职教师队伍，设点院校和办学点师生比均不得低于1:20。其中设点院校选派的专职教师应不少于教师总数的1/2；设点院校聘用的兼职教师要保持一定的稳定性。每个专业至少配备3名以上专职理论教师和实训教师。</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（四）设点院校负责对校外教学点的财务和经费实行统一管理，财务管理人员应符合财会人员从业条件。</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bCs/>
          <w:kern w:val="0"/>
          <w:sz w:val="32"/>
          <w:szCs w:val="32"/>
        </w:rPr>
        <w:t>第七条</w:t>
      </w:r>
      <w:r>
        <w:rPr>
          <w:rFonts w:hint="eastAsia" w:ascii="华文仿宋" w:hAnsi="华文仿宋" w:eastAsia="华文仿宋" w:cs="方正仿宋简体"/>
          <w:kern w:val="0"/>
          <w:sz w:val="32"/>
          <w:szCs w:val="32"/>
        </w:rPr>
        <w:t xml:space="preserve">  机构设置及人员配备　　</w:t>
      </w:r>
    </w:p>
    <w:p>
      <w:pPr>
        <w:snapToGrid w:val="0"/>
        <w:spacing w:line="560" w:lineRule="exact"/>
        <w:ind w:firstLine="640"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kern w:val="0"/>
          <w:sz w:val="32"/>
          <w:szCs w:val="32"/>
        </w:rPr>
        <w:t>（一）设点院校须在校外教学点设立专门的综合管理机构，负责校外教学点的综合管理。综合管理机构一般应配备2-3名负责人员，明确1名主要负责人，同时配备相应的管理人员。管理人员应主要从设点院校现有工作人员中选派，另行聘任的管理人员一般不超过管理人员总量的40%。</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二）校外教学点负责人员应具有较高政治素质和管理能力、丰富的教学和管理经验，从事技工教育工作五年以上，具有学校中层管理岗位经历或中级以上职称。管理人员素质良好、数量充足，在籍学生100人以下（含100人）的，原则上管理人员不得少于3人；在籍学生100人以上的，按每增加100人增加2名管理人员配备。</w:t>
      </w:r>
    </w:p>
    <w:p>
      <w:pPr>
        <w:snapToGrid w:val="0"/>
        <w:spacing w:line="560" w:lineRule="exact"/>
        <w:ind w:firstLine="640" w:firstLineChars="200"/>
        <w:jc w:val="left"/>
        <w:rPr>
          <w:rFonts w:ascii="方正仿宋简体" w:hAnsi="方正仿宋简体" w:eastAsia="方正仿宋简体" w:cs="方正仿宋简体"/>
          <w:kern w:val="0"/>
          <w:sz w:val="32"/>
          <w:szCs w:val="32"/>
        </w:rPr>
      </w:pPr>
    </w:p>
    <w:p>
      <w:pPr>
        <w:widowControl/>
        <w:numPr>
          <w:ilvl w:val="0"/>
          <w:numId w:val="1"/>
        </w:numPr>
        <w:shd w:val="clear" w:color="auto" w:fill="FFFFFF"/>
        <w:adjustRightInd w:val="0"/>
        <w:snapToGrid w:val="0"/>
        <w:spacing w:line="580" w:lineRule="exact"/>
        <w:jc w:val="center"/>
        <w:rPr>
          <w:rFonts w:ascii="黑体" w:hAnsi="黑体" w:eastAsia="黑体" w:cs="黑体"/>
          <w:bCs/>
          <w:kern w:val="0"/>
          <w:sz w:val="32"/>
          <w:szCs w:val="32"/>
        </w:rPr>
      </w:pPr>
      <w:r>
        <w:rPr>
          <w:rFonts w:hint="eastAsia" w:ascii="黑体" w:hAnsi="黑体" w:eastAsia="黑体" w:cs="黑体"/>
          <w:bCs/>
          <w:kern w:val="0"/>
          <w:sz w:val="32"/>
          <w:szCs w:val="32"/>
        </w:rPr>
        <w:t> 校外教学点的设置程序</w:t>
      </w:r>
    </w:p>
    <w:p>
      <w:pPr>
        <w:widowControl/>
        <w:shd w:val="clear" w:color="auto" w:fill="FFFFFF"/>
        <w:adjustRightInd w:val="0"/>
        <w:snapToGrid w:val="0"/>
        <w:spacing w:line="580" w:lineRule="exact"/>
        <w:rPr>
          <w:rFonts w:ascii="黑体" w:hAnsi="黑体" w:eastAsia="黑体" w:cs="黑体"/>
          <w:bCs/>
          <w:kern w:val="0"/>
          <w:sz w:val="32"/>
          <w:szCs w:val="32"/>
        </w:rPr>
      </w:pPr>
    </w:p>
    <w:p>
      <w:pPr>
        <w:widowControl/>
        <w:shd w:val="clear" w:color="auto" w:fill="FFFFFF"/>
        <w:adjustRightInd w:val="0"/>
        <w:snapToGrid w:val="0"/>
        <w:spacing w:line="580" w:lineRule="exact"/>
        <w:jc w:val="left"/>
        <w:rPr>
          <w:rFonts w:ascii="华文仿宋" w:hAnsi="华文仿宋" w:eastAsia="华文仿宋" w:cs="方正仿宋简体"/>
          <w:kern w:val="0"/>
          <w:sz w:val="32"/>
          <w:szCs w:val="32"/>
        </w:rPr>
      </w:pPr>
      <w:r>
        <w:rPr>
          <w:rFonts w:hint="eastAsia" w:ascii="方正仿宋简体" w:hAnsi="方正仿宋简体" w:eastAsia="方正仿宋简体" w:cs="方正仿宋简体"/>
          <w:kern w:val="0"/>
          <w:sz w:val="32"/>
          <w:szCs w:val="32"/>
        </w:rPr>
        <w:t>　　</w:t>
      </w:r>
      <w:r>
        <w:rPr>
          <w:rFonts w:hint="eastAsia" w:ascii="华文仿宋" w:hAnsi="华文仿宋" w:eastAsia="华文仿宋" w:cs="方正仿宋简体"/>
          <w:b/>
          <w:bCs/>
          <w:kern w:val="0"/>
          <w:sz w:val="32"/>
          <w:szCs w:val="32"/>
        </w:rPr>
        <w:t>第八条</w:t>
      </w:r>
      <w:r>
        <w:rPr>
          <w:rFonts w:hint="eastAsia" w:ascii="华文仿宋" w:hAnsi="华文仿宋" w:eastAsia="华文仿宋" w:cs="方正仿宋简体"/>
          <w:kern w:val="0"/>
          <w:sz w:val="32"/>
          <w:szCs w:val="32"/>
        </w:rPr>
        <w:t xml:space="preserve">  申请设置校外教学点须提供以下材料：</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（一）设点院校基本情况，设置校外教学点的必要性、可行性报告及工作方案；</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（二）校外教学点拟开设专业教学计划、教学大纲；</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（三）校外教学点场地产权证明或租赁协议；</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（四）校外教学点管理人员与专兼职教师花名册；</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（五）校外教学点教学、实习实训设施设备等证明材料；</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（六）校外教学点安全设施设备、消防验收检查结果及安全制度等情况。</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bCs/>
          <w:kern w:val="0"/>
          <w:sz w:val="32"/>
          <w:szCs w:val="32"/>
        </w:rPr>
        <w:t>第九条</w:t>
      </w:r>
      <w:r>
        <w:rPr>
          <w:rFonts w:hint="eastAsia" w:ascii="华文仿宋" w:hAnsi="华文仿宋" w:eastAsia="华文仿宋" w:cs="方正仿宋简体"/>
          <w:kern w:val="0"/>
          <w:sz w:val="32"/>
          <w:szCs w:val="32"/>
        </w:rPr>
        <w:t xml:space="preserve">  技工院校设置校外教学点，应提交学校党委会或董事会研究。研究通过后，按照隶属关系，报学校主管部门和设区市人力资源社会保障部门同意。</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bCs/>
          <w:kern w:val="0"/>
          <w:sz w:val="32"/>
          <w:szCs w:val="32"/>
        </w:rPr>
        <w:t>第十条</w:t>
      </w:r>
      <w:r>
        <w:rPr>
          <w:rFonts w:hint="eastAsia" w:ascii="华文仿宋" w:hAnsi="华文仿宋" w:eastAsia="华文仿宋" w:cs="方正仿宋简体"/>
          <w:kern w:val="0"/>
          <w:sz w:val="32"/>
          <w:szCs w:val="32"/>
        </w:rPr>
        <w:t xml:space="preserve">  学校主管部门和设区市人力资源社会保障部门应对设点院校的申请材料进行复核和实地考察，符合条件的予以公布。</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bCs/>
          <w:kern w:val="0"/>
          <w:sz w:val="32"/>
          <w:szCs w:val="32"/>
        </w:rPr>
        <w:t>第十一条</w:t>
      </w:r>
      <w:r>
        <w:rPr>
          <w:rFonts w:hint="eastAsia" w:ascii="华文仿宋" w:hAnsi="华文仿宋" w:eastAsia="华文仿宋" w:cs="方正仿宋简体"/>
          <w:kern w:val="0"/>
          <w:sz w:val="32"/>
          <w:szCs w:val="32"/>
        </w:rPr>
        <w:t xml:space="preserve">  校外教学点的变更、注销，应向学校主管部门和设区市人力资源社会保障部门提出申请。</w:t>
      </w:r>
    </w:p>
    <w:p>
      <w:pPr>
        <w:widowControl/>
        <w:shd w:val="clear" w:color="auto" w:fill="FFFFFF"/>
        <w:adjustRightInd w:val="0"/>
        <w:snapToGrid w:val="0"/>
        <w:spacing w:line="580" w:lineRule="exact"/>
        <w:jc w:val="left"/>
        <w:rPr>
          <w:rFonts w:ascii="方正仿宋简体" w:hAnsi="方正仿宋简体" w:eastAsia="方正仿宋简体" w:cs="方正仿宋简体"/>
          <w:kern w:val="0"/>
          <w:sz w:val="32"/>
          <w:szCs w:val="32"/>
        </w:rPr>
      </w:pPr>
    </w:p>
    <w:p>
      <w:pPr>
        <w:widowControl/>
        <w:numPr>
          <w:ilvl w:val="0"/>
          <w:numId w:val="1"/>
        </w:numPr>
        <w:shd w:val="clear" w:color="auto" w:fill="FFFFFF"/>
        <w:adjustRightInd w:val="0"/>
        <w:snapToGrid w:val="0"/>
        <w:spacing w:line="580" w:lineRule="exact"/>
        <w:jc w:val="center"/>
        <w:rPr>
          <w:rFonts w:ascii="黑体" w:hAnsi="黑体" w:eastAsia="黑体" w:cs="黑体"/>
          <w:bCs/>
          <w:kern w:val="0"/>
          <w:sz w:val="32"/>
          <w:szCs w:val="32"/>
        </w:rPr>
      </w:pPr>
      <w:r>
        <w:rPr>
          <w:rFonts w:hint="eastAsia" w:ascii="黑体" w:hAnsi="黑体" w:eastAsia="黑体" w:cs="黑体"/>
          <w:bCs/>
          <w:kern w:val="0"/>
          <w:sz w:val="32"/>
          <w:szCs w:val="32"/>
        </w:rPr>
        <w:t> 校外教学点的管理</w:t>
      </w:r>
    </w:p>
    <w:p>
      <w:pPr>
        <w:widowControl/>
        <w:shd w:val="clear" w:color="auto" w:fill="FFFFFF"/>
        <w:adjustRightInd w:val="0"/>
        <w:snapToGrid w:val="0"/>
        <w:spacing w:line="580" w:lineRule="exact"/>
        <w:rPr>
          <w:rFonts w:ascii="黑体" w:hAnsi="黑体" w:eastAsia="黑体" w:cs="黑体"/>
          <w:bCs/>
          <w:kern w:val="0"/>
          <w:sz w:val="32"/>
          <w:szCs w:val="32"/>
        </w:rPr>
      </w:pPr>
    </w:p>
    <w:p>
      <w:pPr>
        <w:widowControl/>
        <w:shd w:val="clear" w:color="auto" w:fill="FFFFFF"/>
        <w:adjustRightInd w:val="0"/>
        <w:snapToGrid w:val="0"/>
        <w:spacing w:line="580" w:lineRule="exact"/>
        <w:ind w:firstLine="640"/>
        <w:jc w:val="left"/>
        <w:rPr>
          <w:rFonts w:ascii="华文仿宋" w:hAnsi="华文仿宋" w:eastAsia="华文仿宋" w:cs="方正仿宋简体"/>
          <w:kern w:val="0"/>
          <w:sz w:val="32"/>
          <w:szCs w:val="32"/>
        </w:rPr>
      </w:pPr>
      <w:r>
        <w:rPr>
          <w:rFonts w:hint="eastAsia" w:ascii="华文仿宋" w:hAnsi="华文仿宋" w:eastAsia="华文仿宋" w:cs="方正仿宋简体"/>
          <w:b/>
          <w:bCs/>
          <w:kern w:val="0"/>
          <w:sz w:val="32"/>
          <w:szCs w:val="32"/>
        </w:rPr>
        <w:t>第十二条</w:t>
      </w:r>
      <w:r>
        <w:rPr>
          <w:rFonts w:hint="eastAsia" w:ascii="华文仿宋" w:hAnsi="华文仿宋" w:eastAsia="华文仿宋" w:cs="方正仿宋简体"/>
          <w:kern w:val="0"/>
          <w:sz w:val="32"/>
          <w:szCs w:val="32"/>
        </w:rPr>
        <w:t xml:space="preserve">  校外教学点的日常管理执行设点院校的统一管理规定。</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bCs/>
          <w:kern w:val="0"/>
          <w:sz w:val="32"/>
          <w:szCs w:val="32"/>
        </w:rPr>
        <w:t>第十三条</w:t>
      </w:r>
      <w:r>
        <w:rPr>
          <w:rFonts w:hint="eastAsia" w:ascii="华文仿宋" w:hAnsi="华文仿宋" w:eastAsia="华文仿宋" w:cs="方正仿宋简体"/>
          <w:kern w:val="0"/>
          <w:sz w:val="32"/>
          <w:szCs w:val="32"/>
        </w:rPr>
        <w:t xml:space="preserve">  根据属地管理原则，由设区市人力资源社会保障部门负责监督管理校外教学点的招生、学籍、教学、资助、就业等工作。</w:t>
      </w:r>
    </w:p>
    <w:p>
      <w:pPr>
        <w:widowControl/>
        <w:shd w:val="clear" w:color="auto" w:fill="FFFFFF"/>
        <w:adjustRightInd w:val="0"/>
        <w:snapToGrid w:val="0"/>
        <w:spacing w:line="580" w:lineRule="exact"/>
        <w:ind w:firstLine="640"/>
        <w:jc w:val="left"/>
        <w:rPr>
          <w:rFonts w:ascii="华文仿宋" w:hAnsi="华文仿宋" w:eastAsia="华文仿宋" w:cs="方正仿宋简体"/>
          <w:kern w:val="0"/>
          <w:sz w:val="32"/>
          <w:szCs w:val="32"/>
        </w:rPr>
      </w:pPr>
      <w:r>
        <w:rPr>
          <w:rFonts w:hint="eastAsia" w:ascii="华文仿宋" w:hAnsi="华文仿宋" w:eastAsia="华文仿宋" w:cs="方正仿宋简体"/>
          <w:b/>
          <w:bCs/>
          <w:kern w:val="0"/>
          <w:sz w:val="32"/>
          <w:szCs w:val="32"/>
        </w:rPr>
        <w:t>第十四条</w:t>
      </w:r>
      <w:r>
        <w:rPr>
          <w:rFonts w:hint="eastAsia" w:ascii="华文仿宋" w:hAnsi="华文仿宋" w:eastAsia="华文仿宋" w:cs="方正仿宋简体"/>
          <w:kern w:val="0"/>
          <w:sz w:val="32"/>
          <w:szCs w:val="32"/>
        </w:rPr>
        <w:t xml:space="preserve">  设点院校每年应对教学点的教学管理、学生管理、后勤管理、安全管理等方面的情况开展检查，检查情况应形成报告，报学校主管部门和设区市人力资源社会保障部门。</w:t>
      </w:r>
    </w:p>
    <w:p>
      <w:pPr>
        <w:widowControl/>
        <w:shd w:val="clear" w:color="auto" w:fill="FFFFFF"/>
        <w:adjustRightInd w:val="0"/>
        <w:snapToGrid w:val="0"/>
        <w:spacing w:line="580" w:lineRule="exact"/>
        <w:ind w:firstLine="640"/>
        <w:jc w:val="left"/>
        <w:rPr>
          <w:rFonts w:ascii="方正仿宋简体" w:hAnsi="方正仿宋简体" w:eastAsia="方正仿宋简体" w:cs="方正仿宋简体"/>
          <w:kern w:val="0"/>
          <w:sz w:val="32"/>
          <w:szCs w:val="32"/>
        </w:rPr>
      </w:pPr>
    </w:p>
    <w:p>
      <w:pPr>
        <w:widowControl/>
        <w:numPr>
          <w:ilvl w:val="0"/>
          <w:numId w:val="1"/>
        </w:numPr>
        <w:shd w:val="clear" w:color="auto" w:fill="FFFFFF"/>
        <w:adjustRightInd w:val="0"/>
        <w:snapToGrid w:val="0"/>
        <w:spacing w:line="580" w:lineRule="exact"/>
        <w:jc w:val="center"/>
        <w:rPr>
          <w:rFonts w:ascii="黑体" w:hAnsi="黑体" w:eastAsia="黑体" w:cs="黑体"/>
          <w:bCs/>
          <w:kern w:val="0"/>
          <w:sz w:val="32"/>
          <w:szCs w:val="32"/>
        </w:rPr>
      </w:pPr>
      <w:r>
        <w:rPr>
          <w:rFonts w:hint="eastAsia" w:ascii="黑体" w:hAnsi="黑体" w:eastAsia="黑体" w:cs="黑体"/>
          <w:bCs/>
          <w:kern w:val="0"/>
          <w:sz w:val="32"/>
          <w:szCs w:val="32"/>
        </w:rPr>
        <w:t> 附  则</w:t>
      </w:r>
    </w:p>
    <w:p>
      <w:pPr>
        <w:widowControl/>
        <w:shd w:val="clear" w:color="auto" w:fill="FFFFFF"/>
        <w:adjustRightInd w:val="0"/>
        <w:snapToGrid w:val="0"/>
        <w:spacing w:line="580" w:lineRule="exact"/>
        <w:rPr>
          <w:rFonts w:ascii="黑体" w:hAnsi="黑体" w:eastAsia="黑体" w:cs="黑体"/>
          <w:bCs/>
          <w:kern w:val="0"/>
          <w:sz w:val="32"/>
          <w:szCs w:val="32"/>
        </w:rPr>
      </w:pPr>
    </w:p>
    <w:p>
      <w:pPr>
        <w:widowControl/>
        <w:shd w:val="clear" w:color="auto" w:fill="FFFFFF"/>
        <w:adjustRightInd w:val="0"/>
        <w:snapToGrid w:val="0"/>
        <w:spacing w:line="580" w:lineRule="exact"/>
        <w:ind w:firstLine="640"/>
        <w:jc w:val="left"/>
        <w:rPr>
          <w:rFonts w:ascii="华文仿宋" w:hAnsi="华文仿宋" w:eastAsia="华文仿宋" w:cs="方正仿宋简体"/>
          <w:kern w:val="0"/>
          <w:sz w:val="32"/>
          <w:szCs w:val="32"/>
        </w:rPr>
      </w:pPr>
      <w:r>
        <w:rPr>
          <w:rFonts w:hint="eastAsia" w:ascii="华文仿宋" w:hAnsi="华文仿宋" w:eastAsia="华文仿宋" w:cs="方正仿宋简体"/>
          <w:b/>
          <w:bCs/>
          <w:kern w:val="0"/>
          <w:sz w:val="32"/>
          <w:szCs w:val="32"/>
        </w:rPr>
        <w:t>第十五条</w:t>
      </w:r>
      <w:r>
        <w:rPr>
          <w:rFonts w:hint="eastAsia" w:ascii="华文仿宋" w:hAnsi="华文仿宋" w:eastAsia="华文仿宋" w:cs="方正仿宋简体"/>
          <w:kern w:val="0"/>
          <w:sz w:val="32"/>
          <w:szCs w:val="32"/>
        </w:rPr>
        <w:t xml:space="preserve">   技工院校违规设置教学点或设置教学点后违规开展办学，根据有关法律法规和相关文件规定给予相应处罚。</w:t>
      </w:r>
    </w:p>
    <w:p>
      <w:pPr>
        <w:widowControl/>
        <w:shd w:val="clear" w:color="auto" w:fill="FFFFFF"/>
        <w:adjustRightInd w:val="0"/>
        <w:snapToGrid w:val="0"/>
        <w:spacing w:line="580" w:lineRule="exact"/>
        <w:ind w:firstLine="640"/>
        <w:jc w:val="left"/>
        <w:rPr>
          <w:rFonts w:ascii="华文仿宋" w:hAnsi="华文仿宋" w:eastAsia="华文仿宋" w:cs="方正仿宋简体"/>
          <w:kern w:val="0"/>
          <w:sz w:val="24"/>
          <w:szCs w:val="24"/>
        </w:rPr>
      </w:pPr>
      <w:r>
        <w:rPr>
          <w:rFonts w:hint="eastAsia" w:ascii="华文仿宋" w:hAnsi="华文仿宋" w:eastAsia="华文仿宋" w:cs="方正仿宋简体"/>
          <w:b/>
          <w:bCs/>
          <w:kern w:val="0"/>
          <w:sz w:val="32"/>
          <w:szCs w:val="32"/>
        </w:rPr>
        <w:t>第十六条</w:t>
      </w:r>
      <w:r>
        <w:rPr>
          <w:rFonts w:hint="eastAsia" w:ascii="华文仿宋" w:hAnsi="华文仿宋" w:eastAsia="华文仿宋" w:cs="方正仿宋简体"/>
          <w:kern w:val="0"/>
          <w:sz w:val="32"/>
          <w:szCs w:val="32"/>
        </w:rPr>
        <w:t xml:space="preserve">  本规定自公布之日起30日实施，以往相关规定与本规定不一致的，以本规定为准。</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bCs/>
          <w:kern w:val="0"/>
          <w:sz w:val="32"/>
          <w:szCs w:val="32"/>
        </w:rPr>
        <w:t>第十七条</w:t>
      </w:r>
      <w:r>
        <w:rPr>
          <w:rFonts w:hint="eastAsia" w:ascii="华文仿宋" w:hAnsi="华文仿宋" w:eastAsia="华文仿宋" w:cs="方正仿宋简体"/>
          <w:kern w:val="0"/>
          <w:sz w:val="32"/>
          <w:szCs w:val="32"/>
        </w:rPr>
        <w:t xml:space="preserve">  本办法由江苏省人力资源和社会保障厅负责解释。</w:t>
      </w:r>
    </w:p>
    <w:p>
      <w:pPr>
        <w:widowControl/>
        <w:shd w:val="clear" w:color="auto" w:fill="FFFFFF"/>
        <w:adjustRightInd w:val="0"/>
        <w:snapToGrid w:val="0"/>
        <w:spacing w:line="580" w:lineRule="exact"/>
        <w:jc w:val="left"/>
        <w:rPr>
          <w:rFonts w:ascii="方正仿宋简体" w:hAnsi="方正仿宋简体" w:eastAsia="方正仿宋简体" w:cs="方正仿宋简体"/>
          <w:kern w:val="0"/>
          <w:sz w:val="24"/>
          <w:szCs w:val="24"/>
        </w:rPr>
      </w:pPr>
    </w:p>
    <w:p>
      <w:pPr>
        <w:spacing w:line="580" w:lineRule="exact"/>
        <w:rPr>
          <w:rFonts w:ascii="方正仿宋简体" w:hAnsi="方正仿宋简体" w:eastAsia="方正仿宋简体" w:cs="方正仿宋简体"/>
        </w:rPr>
      </w:pPr>
    </w:p>
    <w:p>
      <w:bookmarkStart w:id="0" w:name="_GoBack"/>
      <w:bookmarkEnd w:id="0"/>
    </w:p>
    <w:sectPr>
      <w:footerReference r:id="rId3" w:type="default"/>
      <w:pgSz w:w="11906" w:h="16838"/>
      <w:pgMar w:top="1814" w:right="1531" w:bottom="1985"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华文中宋">
    <w:panose1 w:val="02010600040101010101"/>
    <w:charset w:val="86"/>
    <w:family w:val="auto"/>
    <w:pitch w:val="default"/>
    <w:sig w:usb0="00000287" w:usb1="080F0000" w:usb2="00000000" w:usb3="00000000" w:csb0="0004009F" w:csb1="DFD70000"/>
  </w:font>
  <w:font w:name="方正小标宋简体">
    <w:panose1 w:val="02010601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仿宋简体">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简体">
    <w:altName w:val="Arial Unicode MS"/>
    <w:panose1 w:val="02000000000000000000"/>
    <w:charset w:val="86"/>
    <w:family w:val="auto"/>
    <w:pitch w:val="default"/>
    <w:sig w:usb0="00000000" w:usb1="00000000" w:usb2="00000012" w:usb3="00000000" w:csb0="00040001" w:csb1="00000000"/>
  </w:font>
  <w:font w:name="Arial">
    <w:panose1 w:val="020B0604020202020204"/>
    <w:charset w:val="00"/>
    <w:family w:val="auto"/>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sz w:val="21"/>
        <w:szCs w:val="21"/>
      </w:rPr>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2"/>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Ai&#10;B7s4twEAAFQDAAAOAAAAAAAAAAEAIAAAAB4BAABkcnMvZTJvRG9jLnhtbFBLBQYAAAAABgAGAFkB&#10;AABHBQAAAAA=&#10;">
              <v:path/>
              <v:fill on="f" focussize="0,0"/>
              <v:stroke on="f" joinstyle="miter"/>
              <v:imagedata o:title=""/>
              <o:lock v:ext="edit"/>
              <v:textbox inset="0mm,0mm,0mm,0mm" style="mso-fit-shape-to-text:t;">
                <w:txbxContent>
                  <w:p>
                    <w:pPr>
                      <w:pStyle w:val="2"/>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mc:Fallback>
      </mc:AlternateContent>
    </w:r>
    <w:sdt>
      <w:sdtPr>
        <w:id w:val="1895687661"/>
      </w:sdtPr>
      <w:sdtEndPr>
        <w:rPr>
          <w:sz w:val="21"/>
          <w:szCs w:val="21"/>
        </w:rPr>
      </w:sdtEndPr>
      <w:sdtContent/>
    </w:sdt>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06EEA7"/>
    <w:multiLevelType w:val="singleLevel"/>
    <w:tmpl w:val="1406EEA7"/>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E708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张惠雅</cp:lastModifiedBy>
  <dcterms:modified xsi:type="dcterms:W3CDTF">2020-06-10T02:16:38Z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