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8731"/>
        </w:tabs>
        <w:adjustRightInd w:val="0"/>
        <w:snapToGrid w:val="0"/>
        <w:spacing w:line="600" w:lineRule="exact"/>
        <w:ind w:right="15" w:rightChars="7"/>
        <w:jc w:val="center"/>
        <w:rPr>
          <w:rFonts w:ascii="Times New Roman" w:hAnsi="Times New Roman" w:eastAsia="方正小标宋_GBK" w:cs="Times New Roman"/>
          <w:color w:val="000000"/>
          <w:kern w:val="0"/>
          <w:sz w:val="44"/>
          <w:szCs w:val="44"/>
          <w:highlight w:val="none"/>
        </w:rPr>
      </w:pPr>
      <w:r>
        <w:rPr>
          <w:rFonts w:ascii="Times New Roman" w:hAnsi="Times New Roman" w:eastAsia="方正小标宋_GBK" w:cs="Times New Roman"/>
          <w:color w:val="000000"/>
          <w:kern w:val="0"/>
          <w:sz w:val="44"/>
          <w:szCs w:val="44"/>
          <w:highlight w:val="none"/>
        </w:rPr>
        <w:t xml:space="preserve">省人力资源社会保障厅  </w:t>
      </w:r>
      <w:r>
        <w:rPr>
          <w:rFonts w:ascii="Times New Roman" w:hAnsi="Times New Roman" w:eastAsia="方正小标宋_GBK" w:cs="Times New Roman"/>
          <w:sz w:val="44"/>
          <w:szCs w:val="44"/>
          <w:highlight w:val="none"/>
        </w:rPr>
        <w:t>省财政厅</w:t>
      </w:r>
    </w:p>
    <w:p>
      <w:pPr>
        <w:adjustRightInd w:val="0"/>
        <w:snapToGrid w:val="0"/>
        <w:spacing w:line="590" w:lineRule="atLeast"/>
        <w:jc w:val="center"/>
        <w:rPr>
          <w:rFonts w:hint="eastAsia" w:ascii="Times New Roman" w:hAnsi="Times New Roman" w:eastAsia="方正小标宋_GBK" w:cs="Times New Roman"/>
          <w:sz w:val="44"/>
          <w:szCs w:val="44"/>
          <w:highlight w:val="none"/>
          <w:lang w:eastAsia="zh-CN"/>
        </w:rPr>
      </w:pPr>
      <w:r>
        <w:rPr>
          <w:rFonts w:hint="eastAsia" w:ascii="Times New Roman" w:hAnsi="Times New Roman" w:eastAsia="方正小标宋_GBK" w:cs="Times New Roman"/>
          <w:sz w:val="44"/>
          <w:szCs w:val="44"/>
          <w:highlight w:val="none"/>
          <w:lang w:eastAsia="zh-CN"/>
        </w:rPr>
        <w:t>关于机关事业单位养老保险制度改革</w:t>
      </w:r>
    </w:p>
    <w:p>
      <w:pPr>
        <w:adjustRightInd w:val="0"/>
        <w:snapToGrid w:val="0"/>
        <w:spacing w:line="590" w:lineRule="atLeast"/>
        <w:jc w:val="center"/>
        <w:rPr>
          <w:rFonts w:hint="eastAsia" w:ascii="Times New Roman" w:hAnsi="Times New Roman" w:eastAsia="方正小标宋_GBK" w:cs="Times New Roman"/>
          <w:highlight w:val="none"/>
          <w:lang w:eastAsia="zh-CN"/>
        </w:rPr>
      </w:pPr>
      <w:r>
        <w:rPr>
          <w:rFonts w:hint="eastAsia" w:ascii="Times New Roman" w:hAnsi="Times New Roman" w:eastAsia="方正小标宋_GBK" w:cs="Times New Roman"/>
          <w:sz w:val="44"/>
          <w:szCs w:val="44"/>
          <w:highlight w:val="none"/>
          <w:lang w:eastAsia="zh-CN"/>
        </w:rPr>
        <w:t>有关问题处理意见的通知</w:t>
      </w:r>
      <w:bookmarkStart w:id="0" w:name="_GoBack"/>
      <w:bookmarkEnd w:id="0"/>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方正仿宋_GBK" w:hAnsi="方正仿宋_GBK" w:eastAsia="方正仿宋_GBK" w:cs="方正仿宋_GBK"/>
          <w:sz w:val="32"/>
          <w:szCs w:val="32"/>
        </w:rPr>
      </w:pP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各设区市、县</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市、区</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人力资源和社会保障局、财政局，省各委办厅局、省各直属单位人事、财务部门：</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为进一步规范我省机关事业单位养老保险制度改革工作，现就各地改革中遇到的有关问题提出如下处理意见：</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val="en-US" w:eastAsia="zh-CN"/>
        </w:rPr>
        <w:t xml:space="preserve">    </w:t>
      </w:r>
      <w:r>
        <w:rPr>
          <w:rFonts w:hint="eastAsia" w:ascii="方正黑体_GBK" w:hAnsi="方正黑体_GBK" w:eastAsia="方正黑体_GBK" w:cs="方正黑体_GBK"/>
          <w:sz w:val="32"/>
          <w:szCs w:val="32"/>
        </w:rPr>
        <w:t>一、关于缴费工资基数问题</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（一）从2020 年1月1日起，纳入机关事业单位养老保险缴费工资</w:t>
      </w:r>
      <w:r>
        <w:rPr>
          <w:rFonts w:hint="eastAsia" w:ascii="方正仿宋_GBK" w:hAnsi="方正仿宋_GBK" w:eastAsia="方正仿宋_GBK" w:cs="方正仿宋_GBK"/>
          <w:sz w:val="32"/>
          <w:szCs w:val="32"/>
          <w:lang w:eastAsia="zh-CN"/>
        </w:rPr>
        <w:t>基</w:t>
      </w:r>
      <w:r>
        <w:rPr>
          <w:rFonts w:hint="eastAsia" w:ascii="方正仿宋_GBK" w:hAnsi="方正仿宋_GBK" w:eastAsia="方正仿宋_GBK" w:cs="方正仿宋_GBK"/>
          <w:sz w:val="32"/>
          <w:szCs w:val="32"/>
        </w:rPr>
        <w:t>数的事业单位绩效工资是指组织、人力资源社会保障部门批准的在控高线以下的部分，事业单位绩效工资超过控高线以上部分不纳入基本养老保险缴费基数。</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（二）从2020年1月1日起，尚未实施绩效工资的事业单位，其工作人员的缴费工资基数参照本地区同类事业单位同条件人员确定。</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（三）从2020 年1月1日起，省内各类开发区未实际执行机关事业单位工资制度的，其符合参加机关事业单位养老保险人员的缴费工资基数参照本地区机关、同类事业单位同条件人员确定。</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四）驻苏中央国家机关（单位）所属机关事业单位缴费工资基数的确定按 《人力资源社会保障部办公厅 财政厅部办公厅关于中史所属单位属地参加机关事业单位养老保险若干问题的通知》（人社厅发〔2018〕33 号）有关规定执行。</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 xml:space="preserve">    二、关于职务职级晋升人员问题</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从2019年1月1日起，对过渡期内退休、期间本人职务职级（技术职称）晋升的工作人员，按照苏人社发〔2017〕188号文件计算本人职务职级（技术职称）上升后的职务职级（技术职称）对应的 2014 年9月的基本工资标准 A</w:t>
      </w:r>
      <w:r>
        <w:rPr>
          <w:rFonts w:hint="eastAsia" w:ascii="方正仿宋_GBK" w:hAnsi="方正仿宋_GBK" w:eastAsia="方正仿宋_GBK" w:cs="方正仿宋_GBK"/>
          <w:sz w:val="32"/>
          <w:szCs w:val="32"/>
          <w:vertAlign w:val="subscript"/>
          <w:lang w:val="en-US" w:eastAsia="zh-CN"/>
        </w:rPr>
        <w:t>1</w:t>
      </w:r>
      <w:r>
        <w:rPr>
          <w:rFonts w:hint="eastAsia" w:ascii="方正仿宋_GBK" w:hAnsi="方正仿宋_GBK" w:eastAsia="方正仿宋_GBK" w:cs="方正仿宋_GBK"/>
          <w:sz w:val="32"/>
          <w:szCs w:val="32"/>
        </w:rPr>
        <w:t>时，不含2014年9月以后的工资正常晋级晋档，即计算A</w:t>
      </w:r>
      <w:r>
        <w:rPr>
          <w:rFonts w:hint="eastAsia" w:ascii="方正仿宋_GBK" w:hAnsi="方正仿宋_GBK" w:eastAsia="方正仿宋_GBK" w:cs="方正仿宋_GBK"/>
          <w:sz w:val="32"/>
          <w:szCs w:val="32"/>
          <w:vertAlign w:val="subscript"/>
          <w:lang w:val="en-US" w:eastAsia="zh-CN"/>
        </w:rPr>
        <w:t>1</w:t>
      </w:r>
      <w:r>
        <w:rPr>
          <w:rFonts w:hint="eastAsia" w:ascii="方正仿宋_GBK" w:hAnsi="方正仿宋_GBK" w:eastAsia="方正仿宋_GBK" w:cs="方正仿宋_GBK"/>
          <w:sz w:val="32"/>
          <w:szCs w:val="32"/>
        </w:rPr>
        <w:t>所用的职务（岗位）工资为本人退休前最后一次职务上升后对应的 2014 年9月的职务</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岗位</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工资，所用职级（薪级）工资为本人2014年9月的职级（薪级）工资。</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 xml:space="preserve">  </w:t>
      </w:r>
      <w:r>
        <w:rPr>
          <w:rFonts w:hint="eastAsia" w:ascii="方正黑体_GBK" w:hAnsi="方正黑体_GBK" w:eastAsia="方正黑体_GBK" w:cs="方正黑体_GBK"/>
          <w:sz w:val="32"/>
          <w:szCs w:val="32"/>
          <w:lang w:val="en-US" w:eastAsia="zh-CN"/>
        </w:rPr>
        <w:t xml:space="preserve">  三、关于一次性缴费至满 15 年问题</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参加机关事业单位养老保险达到国家和省规定退休年龄时累计缴费年限不满 15年的人员，其一次性缴费至满 15年后，一次性缴费所对应的缴费工资基数全部计入最后一个月</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合并后当年缴费工资基数超过上眼的不封顶），并计算相应的缴费工资指数。</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 xml:space="preserve">    </w:t>
      </w:r>
      <w:r>
        <w:rPr>
          <w:rFonts w:hint="eastAsia" w:ascii="方正黑体_GBK" w:hAnsi="方正黑体_GBK" w:eastAsia="方正黑体_GBK" w:cs="方正黑体_GBK"/>
          <w:sz w:val="32"/>
          <w:szCs w:val="32"/>
          <w:lang w:val="en-US" w:eastAsia="zh-CN"/>
        </w:rPr>
        <w:t>四、关于存在企业职工基本养老保险应缴未缴的问题</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参加机关事业单位养老保险人员，其过去曾有企业工作经历或曾是机关事业单位编外人员的，如果按企业职工基本养老保险规定应缴未缴的，其应按规定在企业职工基</w:t>
      </w:r>
      <w:r>
        <w:rPr>
          <w:rFonts w:hint="eastAsia" w:ascii="方正仿宋_GBK" w:hAnsi="方正仿宋_GBK" w:eastAsia="方正仿宋_GBK" w:cs="方正仿宋_GBK"/>
          <w:sz w:val="32"/>
          <w:szCs w:val="32"/>
          <w:lang w:eastAsia="zh-CN"/>
        </w:rPr>
        <w:t>本</w:t>
      </w:r>
      <w:r>
        <w:rPr>
          <w:rFonts w:hint="eastAsia" w:ascii="方正仿宋_GBK" w:hAnsi="方正仿宋_GBK" w:eastAsia="方正仿宋_GBK" w:cs="方正仿宋_GBK"/>
          <w:sz w:val="32"/>
          <w:szCs w:val="32"/>
        </w:rPr>
        <w:t>养老保险内补缴后办理转移手续，其中在省直参保的机关事业单位上述人员，可在原参保地企业职工养老保险经办机构办理补缴手续。应补缴未补缴的相应连续工龄或工作年限不能计算为机关事业单位养老保险缴费年限。</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 xml:space="preserve">   </w:t>
      </w:r>
      <w:r>
        <w:rPr>
          <w:rFonts w:hint="eastAsia" w:ascii="方正黑体_GBK" w:hAnsi="方正黑体_GBK" w:eastAsia="方正黑体_GBK" w:cs="方正黑体_GBK"/>
          <w:sz w:val="32"/>
          <w:szCs w:val="32"/>
          <w:lang w:val="en-US" w:eastAsia="zh-CN"/>
        </w:rPr>
        <w:t xml:space="preserve"> 五、关于机关事业单位工作人员按特殊工种提前退休问题</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各地、各有权部门、各参保单位要严格执行国家特殊工种提前退休</w:t>
      </w:r>
      <w:r>
        <w:rPr>
          <w:rFonts w:hint="eastAsia" w:ascii="方正仿宋_GBK" w:hAnsi="方正仿宋_GBK" w:eastAsia="方正仿宋_GBK" w:cs="方正仿宋_GBK"/>
          <w:sz w:val="32"/>
          <w:szCs w:val="32"/>
          <w:lang w:eastAsia="zh-CN"/>
        </w:rPr>
        <w:t>范围</w:t>
      </w:r>
      <w:r>
        <w:rPr>
          <w:rFonts w:hint="eastAsia" w:ascii="方正仿宋_GBK" w:hAnsi="方正仿宋_GBK" w:eastAsia="方正仿宋_GBK" w:cs="方正仿宋_GBK"/>
          <w:sz w:val="32"/>
          <w:szCs w:val="32"/>
        </w:rPr>
        <w:t>和条件的规定，不得扩大特殊工种</w:t>
      </w:r>
      <w:r>
        <w:rPr>
          <w:rFonts w:hint="eastAsia" w:ascii="方正仿宋_GBK" w:hAnsi="方正仿宋_GBK" w:eastAsia="方正仿宋_GBK" w:cs="方正仿宋_GBK"/>
          <w:sz w:val="32"/>
          <w:szCs w:val="32"/>
          <w:lang w:eastAsia="zh-CN"/>
        </w:rPr>
        <w:t>范围</w:t>
      </w:r>
      <w:r>
        <w:rPr>
          <w:rFonts w:hint="eastAsia" w:ascii="方正仿宋_GBK" w:hAnsi="方正仿宋_GBK" w:eastAsia="方正仿宋_GBK" w:cs="方正仿宋_GBK"/>
          <w:sz w:val="32"/>
          <w:szCs w:val="32"/>
        </w:rPr>
        <w:t>，不得自行降低标准。符合特殊工种提前退休条件的机关事业单位工作人员，按</w:t>
      </w:r>
      <w:r>
        <w:rPr>
          <w:rFonts w:hint="eastAsia" w:ascii="方正仿宋_GBK" w:hAnsi="方正仿宋_GBK" w:eastAsia="方正仿宋_GBK" w:cs="方正仿宋_GBK"/>
          <w:sz w:val="32"/>
          <w:szCs w:val="32"/>
          <w:lang w:eastAsia="zh-CN"/>
        </w:rPr>
        <w:t>干部</w:t>
      </w:r>
      <w:r>
        <w:rPr>
          <w:rFonts w:hint="eastAsia" w:ascii="方正仿宋_GBK" w:hAnsi="方正仿宋_GBK" w:eastAsia="方正仿宋_GBK" w:cs="方正仿宋_GBK"/>
          <w:sz w:val="32"/>
          <w:szCs w:val="32"/>
        </w:rPr>
        <w:t>人事管理权限批准，可在提前退休年龄至正常法定退休</w:t>
      </w:r>
      <w:r>
        <w:rPr>
          <w:rFonts w:hint="eastAsia" w:ascii="方正仿宋_GBK" w:hAnsi="方正仿宋_GBK" w:eastAsia="方正仿宋_GBK" w:cs="方正仿宋_GBK"/>
          <w:sz w:val="32"/>
          <w:szCs w:val="32"/>
          <w:lang w:eastAsia="zh-CN"/>
        </w:rPr>
        <w:t>年龄</w:t>
      </w:r>
      <w:r>
        <w:rPr>
          <w:rFonts w:hint="eastAsia" w:ascii="方正仿宋_GBK" w:hAnsi="方正仿宋_GBK" w:eastAsia="方正仿宋_GBK" w:cs="方正仿宋_GBK"/>
          <w:sz w:val="32"/>
          <w:szCs w:val="32"/>
        </w:rPr>
        <w:t>之间办理提前退休手续。</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 xml:space="preserve">    </w:t>
      </w:r>
      <w:r>
        <w:rPr>
          <w:rFonts w:hint="eastAsia" w:ascii="方正黑体_GBK" w:hAnsi="方正黑体_GBK" w:eastAsia="方正黑体_GBK" w:cs="方正黑体_GBK"/>
          <w:sz w:val="32"/>
          <w:szCs w:val="32"/>
          <w:lang w:val="en-US" w:eastAsia="zh-CN"/>
        </w:rPr>
        <w:t>六、关于事业单位工作人员和机关工人因病或非因工致残完全丧失劳动能力问题</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事业单位工作人员和机关工人因病或非因工致残，经设区市以上劳动能力鉴定委员会鉴定完全丧失劳动能力的，由所在单位凭劳动能力鉴定结论和按干部人事管理权限批准文件到机关事业单位养老保险经办机构办理待遇申领手续。</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 xml:space="preserve"> </w:t>
      </w:r>
      <w:r>
        <w:rPr>
          <w:rFonts w:hint="eastAsia" w:ascii="方正黑体_GBK" w:hAnsi="方正黑体_GBK" w:eastAsia="方正黑体_GBK" w:cs="方正黑体_GBK"/>
          <w:sz w:val="32"/>
          <w:szCs w:val="32"/>
          <w:lang w:val="en-US" w:eastAsia="zh-CN"/>
        </w:rPr>
        <w:t xml:space="preserve">   七、关于机关事业单位长病假人员的养老保险有关问题</w:t>
      </w:r>
    </w:p>
    <w:p>
      <w:pPr>
        <w:widowControl/>
        <w:adjustRightInd w:val="0"/>
        <w:snapToGrid w:val="0"/>
        <w:spacing w:line="590" w:lineRule="atLeast"/>
        <w:ind w:firstLine="640"/>
        <w:jc w:val="left"/>
        <w:rPr>
          <w:rFonts w:hint="eastAsia" w:ascii="Times New Roman" w:hAnsi="Times New Roman" w:eastAsia="方正仿宋_GBK" w:cs="Times New Roman"/>
          <w:sz w:val="32"/>
          <w:szCs w:val="32"/>
          <w:highlight w:val="none"/>
          <w:lang w:val="en-US" w:eastAsia="zh-CN"/>
        </w:rPr>
      </w:pPr>
      <w:r>
        <w:rPr>
          <w:rFonts w:hint="eastAsia" w:ascii="方正仿宋_GBK" w:hAnsi="方正仿宋_GBK" w:eastAsia="方正仿宋_GBK" w:cs="方正仿宋_GBK"/>
          <w:sz w:val="32"/>
          <w:szCs w:val="32"/>
        </w:rPr>
        <w:t>2014 年10月1日以后，机关事业单位长病假人员，在长病假期间，以本人病假工资作为基数</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若长病假工资低于当年度缴费工资基数下限的，按照省规定的下限确认缴费工资基数）缴纳基本养老保险费和职业年金，并计算实际缴费年限。</w:t>
      </w:r>
      <w:r>
        <w:rPr>
          <w:rFonts w:hint="eastAsia" w:ascii="Times New Roman" w:hAnsi="Times New Roman" w:eastAsia="方正仿宋_GBK" w:cs="Times New Roman"/>
          <w:sz w:val="32"/>
          <w:szCs w:val="32"/>
          <w:highlight w:val="none"/>
          <w:lang w:val="en-US" w:eastAsia="zh-CN"/>
        </w:rPr>
        <w:t xml:space="preserve">   </w:t>
      </w:r>
      <w:r>
        <w:rPr>
          <w:rFonts w:hint="eastAsia" w:ascii="Times New Roman" w:hAnsi="Times New Roman" w:eastAsia="方正仿宋_GBK" w:cs="Times New Roman"/>
          <w:sz w:val="32"/>
          <w:szCs w:val="32"/>
          <w:highlight w:val="none"/>
          <w:lang w:val="en-US" w:eastAsia="zh-CN"/>
        </w:rPr>
        <w:br w:type="textWrapping"/>
      </w:r>
    </w:p>
    <w:p>
      <w:pPr>
        <w:widowControl/>
        <w:adjustRightInd w:val="0"/>
        <w:snapToGrid w:val="0"/>
        <w:spacing w:line="590" w:lineRule="atLeast"/>
        <w:jc w:val="left"/>
        <w:rPr>
          <w:rFonts w:hint="eastAsia" w:ascii="Times New Roman" w:hAnsi="Times New Roman" w:eastAsia="方正仿宋_GBK" w:cs="Times New Roman"/>
          <w:sz w:val="32"/>
          <w:szCs w:val="32"/>
          <w:highlight w:val="none"/>
          <w:lang w:val="en-US" w:eastAsia="zh-CN"/>
        </w:rPr>
      </w:pPr>
      <w:r>
        <w:rPr>
          <w:rFonts w:hint="eastAsia" w:ascii="Times New Roman" w:hAnsi="Times New Roman" w:eastAsia="方正仿宋_GBK" w:cs="Times New Roman"/>
          <w:sz w:val="32"/>
          <w:szCs w:val="32"/>
          <w:highlight w:val="none"/>
          <w:lang w:eastAsia="zh-CN"/>
        </w:rPr>
        <w:t>江苏省人力资源和社会保障厅</w:t>
      </w:r>
      <w:r>
        <w:rPr>
          <w:rFonts w:hint="eastAsia" w:ascii="Times New Roman" w:hAnsi="Times New Roman" w:eastAsia="方正仿宋_GBK" w:cs="Times New Roman"/>
          <w:sz w:val="32"/>
          <w:szCs w:val="32"/>
          <w:highlight w:val="none"/>
          <w:lang w:val="en-US" w:eastAsia="zh-CN"/>
        </w:rPr>
        <w:t xml:space="preserve">            江苏省财政厅</w:t>
      </w:r>
    </w:p>
    <w:p>
      <w:pPr>
        <w:widowControl/>
        <w:adjustRightInd w:val="0"/>
        <w:snapToGrid w:val="0"/>
        <w:spacing w:line="590" w:lineRule="atLeast"/>
        <w:jc w:val="left"/>
        <w:rPr>
          <w:rFonts w:hint="eastAsia" w:ascii="Times New Roman" w:hAnsi="Times New Roman" w:eastAsia="方正仿宋_GBK" w:cs="Times New Roman"/>
          <w:sz w:val="32"/>
          <w:szCs w:val="32"/>
          <w:highlight w:val="none"/>
          <w:lang w:val="en-US" w:eastAsia="zh-CN"/>
        </w:rPr>
      </w:pPr>
      <w:r>
        <w:rPr>
          <w:rFonts w:hint="eastAsia" w:ascii="Times New Roman" w:hAnsi="Times New Roman" w:eastAsia="方正仿宋_GBK" w:cs="Times New Roman"/>
          <w:sz w:val="32"/>
          <w:szCs w:val="32"/>
          <w:highlight w:val="none"/>
          <w:lang w:val="en-US" w:eastAsia="zh-CN"/>
        </w:rPr>
        <w:t xml:space="preserve">                                   2019年9月30日</w:t>
      </w:r>
    </w:p>
    <w:p>
      <w:pPr>
        <w:widowControl/>
        <w:adjustRightInd w:val="0"/>
        <w:snapToGrid w:val="0"/>
        <w:spacing w:line="590" w:lineRule="atLeast"/>
        <w:jc w:val="left"/>
        <w:rPr>
          <w:rFonts w:hint="eastAsia" w:ascii="Times New Roman" w:hAnsi="Times New Roman" w:eastAsia="方正仿宋_GBK" w:cs="Times New Roman"/>
          <w:sz w:val="32"/>
          <w:szCs w:val="32"/>
          <w:highlight w:val="none"/>
          <w:lang w:val="en-US" w:eastAsia="zh-CN"/>
        </w:rPr>
      </w:pPr>
    </w:p>
    <w:p>
      <w:pPr>
        <w:widowControl/>
        <w:adjustRightInd w:val="0"/>
        <w:snapToGrid w:val="0"/>
        <w:spacing w:line="590" w:lineRule="atLeast"/>
        <w:jc w:val="left"/>
        <w:rPr>
          <w:rFonts w:hint="eastAsia" w:ascii="Times New Roman" w:hAnsi="Times New Roman" w:eastAsia="方正仿宋_GBK" w:cs="Times New Roman"/>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方正仿宋_GBK" w:hAnsi="方正仿宋_GBK" w:eastAsia="方正仿宋_GBK" w:cs="方正仿宋_GBK"/>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B0500000000000000"/>
    <w:charset w:val="86"/>
    <w:family w:val="auto"/>
    <w:pitch w:val="default"/>
    <w:sig w:usb0="30000083" w:usb1="2BDF3C10" w:usb2="00000016" w:usb3="00000000" w:csb0="602E0107"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B0500000000000000"/>
    <w:charset w:val="86"/>
    <w:family w:val="auto"/>
    <w:pitch w:val="default"/>
    <w:sig w:usb0="30000083" w:usb1="2BDF3C10" w:usb2="00000016" w:usb3="00000000" w:csb0="602E0107"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0000000000000"/>
    <w:charset w:val="86"/>
    <w:family w:val="auto"/>
    <w:pitch w:val="default"/>
    <w:sig w:usb0="30000083" w:usb1="2BDF3C10" w:usb2="00000016" w:usb3="00000000" w:csb0="602E0107" w:csb1="00000000"/>
  </w:font>
  <w:font w:name="等线">
    <w:altName w:val="华文中宋"/>
    <w:panose1 w:val="02010600030101010101"/>
    <w:charset w:val="86"/>
    <w:family w:val="auto"/>
    <w:pitch w:val="default"/>
    <w:sig w:usb0="00000000" w:usb1="00000000" w:usb2="00000016" w:usb3="00000000" w:csb0="0004000F" w:csb1="00000000"/>
  </w:font>
  <w:font w:name="华文中宋">
    <w:panose1 w:val="020B0500000000000000"/>
    <w:charset w:val="86"/>
    <w:family w:val="auto"/>
    <w:pitch w:val="default"/>
    <w:sig w:usb0="30000083" w:usb1="2BDF3C10" w:usb2="00000016" w:usb3="00000000" w:csb0="602E0107"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方正小标宋_GBK">
    <w:panose1 w:val="020B0500000000000000"/>
    <w:charset w:val="86"/>
    <w:family w:val="auto"/>
    <w:pitch w:val="default"/>
    <w:sig w:usb0="30000083" w:usb1="2BDF3C10" w:usb2="00000016" w:usb3="00000000" w:csb0="602E0107" w:csb1="00000000"/>
  </w:font>
  <w:font w:name="方正仿宋_GBK">
    <w:panose1 w:val="020B0500000000000000"/>
    <w:charset w:val="86"/>
    <w:family w:val="auto"/>
    <w:pitch w:val="default"/>
    <w:sig w:usb0="30000083" w:usb1="2BDF3C10" w:usb2="00000016" w:usb3="00000000" w:csb0="602E0107" w:csb1="00000000"/>
  </w:font>
  <w:font w:name="方正黑体_GBK">
    <w:panose1 w:val="020B0500000000000000"/>
    <w:charset w:val="86"/>
    <w:family w:val="auto"/>
    <w:pitch w:val="default"/>
    <w:sig w:usb0="30000083" w:usb1="2BDF3C10" w:usb2="00000016" w:usb3="00000000" w:csb0="602E0107"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3C"/>
    <w:rsid w:val="0037684A"/>
    <w:rsid w:val="00D17D3C"/>
    <w:rsid w:val="00E0212E"/>
    <w:rsid w:val="63E45F14"/>
    <w:rsid w:val="677F7130"/>
    <w:rsid w:val="F6FC84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239</Words>
  <Characters>1366</Characters>
  <Lines>11</Lines>
  <Paragraphs>3</Paragraphs>
  <TotalTime>1</TotalTime>
  <ScaleCrop>false</ScaleCrop>
  <LinksUpToDate>false</LinksUpToDate>
  <CharactersWithSpaces>1602</CharactersWithSpaces>
  <Application>WPS Office_11.8.2.11653_F1E327BC-269C-435d-A152-05C5408002CA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2022-12-01T09:14:00Z</dcterms:created>
  <dc:creator>殷英</dc:creator>
  <cp:lastModifiedBy>kylin</cp:lastModifiedBy>
  <dcterms:modified xsi:type="dcterms:W3CDTF">2024-06-06T17:45:06Z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235A80756E3A3AAC22856166DC59E53D</vt:lpwstr>
  </property>
</Properties>
</file>