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5"/>
        <w:tblW w:w="9836" w:type="dxa"/>
        <w:tblInd w:w="108" w:type="dxa"/>
        <w:tblLayout w:type="fixed"/>
        <w:tblCellMar>
          <w:top w:w="0" w:type="dxa"/>
          <w:left w:w="108" w:type="dxa"/>
          <w:bottom w:w="0" w:type="dxa"/>
          <w:right w:w="108" w:type="dxa"/>
        </w:tblCellMar>
      </w:tblPr>
      <w:tblGrid>
        <w:gridCol w:w="1408"/>
        <w:gridCol w:w="1005"/>
        <w:gridCol w:w="1273"/>
        <w:gridCol w:w="850"/>
        <w:gridCol w:w="5300"/>
      </w:tblGrid>
      <w:tr>
        <w:tblPrEx>
          <w:tblLayout w:type="fixed"/>
        </w:tblPrEx>
        <w:trPr>
          <w:trHeight w:val="840" w:hRule="atLeast"/>
        </w:trPr>
        <w:tc>
          <w:tcPr>
            <w:tcW w:w="9836" w:type="dxa"/>
            <w:gridSpan w:val="5"/>
            <w:tcBorders>
              <w:top w:val="nil"/>
              <w:left w:val="nil"/>
              <w:bottom w:val="nil"/>
              <w:right w:val="nil"/>
            </w:tcBorders>
            <w:shd w:val="clear" w:color="auto" w:fill="auto"/>
            <w:vAlign w:val="center"/>
          </w:tcPr>
          <w:p>
            <w:pPr>
              <w:widowControl/>
              <w:jc w:val="center"/>
              <w:rPr>
                <w:rFonts w:ascii="方正小标宋_GBK" w:hAnsi="宋体" w:eastAsia="方正小标宋_GBK" w:cs="宋体"/>
                <w:kern w:val="0"/>
                <w:sz w:val="40"/>
                <w:szCs w:val="40"/>
              </w:rPr>
            </w:pPr>
            <w:r>
              <w:rPr>
                <w:rFonts w:hint="eastAsia" w:ascii="方正小标宋_GBK" w:hAnsi="宋体" w:eastAsia="方正小标宋_GBK" w:cs="宋体"/>
                <w:kern w:val="0"/>
                <w:sz w:val="40"/>
                <w:szCs w:val="40"/>
              </w:rPr>
              <w:t>2020年度省级统筹激励实施办法量化评估细则</w:t>
            </w:r>
          </w:p>
        </w:tc>
      </w:tr>
      <w:tr>
        <w:tblPrEx>
          <w:tblLayout w:type="fixed"/>
        </w:tblPrEx>
        <w:trPr>
          <w:trHeight w:val="645" w:hRule="atLeast"/>
        </w:trPr>
        <w:tc>
          <w:tcPr>
            <w:tcW w:w="140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500" w:lineRule="exact"/>
              <w:jc w:val="center"/>
              <w:rPr>
                <w:rFonts w:ascii="方正黑体_GBK" w:hAnsi="宋体" w:eastAsia="方正黑体_GBK" w:cs="宋体"/>
                <w:color w:val="000000"/>
                <w:kern w:val="0"/>
                <w:sz w:val="28"/>
                <w:szCs w:val="28"/>
              </w:rPr>
            </w:pPr>
            <w:r>
              <w:rPr>
                <w:rFonts w:hint="eastAsia" w:ascii="方正黑体_GBK" w:hAnsi="宋体" w:eastAsia="方正黑体_GBK" w:cs="宋体"/>
                <w:color w:val="000000"/>
                <w:kern w:val="0"/>
                <w:sz w:val="28"/>
                <w:szCs w:val="28"/>
              </w:rPr>
              <w:t>项目</w:t>
            </w:r>
          </w:p>
        </w:tc>
        <w:tc>
          <w:tcPr>
            <w:tcW w:w="1005" w:type="dxa"/>
            <w:tcBorders>
              <w:top w:val="single" w:color="auto" w:sz="4" w:space="0"/>
              <w:left w:val="nil"/>
              <w:bottom w:val="single" w:color="auto" w:sz="4" w:space="0"/>
              <w:right w:val="single" w:color="auto" w:sz="4" w:space="0"/>
            </w:tcBorders>
            <w:shd w:val="clear" w:color="auto" w:fill="auto"/>
            <w:vAlign w:val="center"/>
          </w:tcPr>
          <w:p>
            <w:pPr>
              <w:widowControl/>
              <w:spacing w:line="500" w:lineRule="exact"/>
              <w:jc w:val="center"/>
              <w:rPr>
                <w:rFonts w:ascii="方正黑体_GBK" w:hAnsi="宋体" w:eastAsia="方正黑体_GBK" w:cs="宋体"/>
                <w:color w:val="000000"/>
                <w:kern w:val="0"/>
                <w:sz w:val="28"/>
                <w:szCs w:val="28"/>
              </w:rPr>
            </w:pPr>
            <w:r>
              <w:rPr>
                <w:rFonts w:hint="eastAsia" w:ascii="方正黑体_GBK" w:hAnsi="宋体" w:eastAsia="方正黑体_GBK" w:cs="宋体"/>
                <w:color w:val="000000"/>
                <w:kern w:val="0"/>
                <w:sz w:val="28"/>
                <w:szCs w:val="28"/>
              </w:rPr>
              <w:t>序号</w:t>
            </w:r>
          </w:p>
        </w:tc>
        <w:tc>
          <w:tcPr>
            <w:tcW w:w="1273" w:type="dxa"/>
            <w:tcBorders>
              <w:top w:val="single" w:color="auto" w:sz="4" w:space="0"/>
              <w:left w:val="nil"/>
              <w:bottom w:val="single" w:color="auto" w:sz="4" w:space="0"/>
              <w:right w:val="single" w:color="auto" w:sz="4" w:space="0"/>
            </w:tcBorders>
            <w:shd w:val="clear" w:color="auto" w:fill="auto"/>
            <w:vAlign w:val="center"/>
          </w:tcPr>
          <w:p>
            <w:pPr>
              <w:widowControl/>
              <w:spacing w:line="500" w:lineRule="exact"/>
              <w:jc w:val="center"/>
              <w:rPr>
                <w:rFonts w:ascii="方正黑体_GBK" w:hAnsi="宋体" w:eastAsia="方正黑体_GBK" w:cs="宋体"/>
                <w:color w:val="000000"/>
                <w:kern w:val="0"/>
                <w:sz w:val="28"/>
                <w:szCs w:val="28"/>
              </w:rPr>
            </w:pPr>
            <w:r>
              <w:rPr>
                <w:rFonts w:hint="eastAsia" w:ascii="方正黑体_GBK" w:hAnsi="宋体" w:eastAsia="方正黑体_GBK" w:cs="宋体"/>
                <w:color w:val="000000"/>
                <w:kern w:val="0"/>
                <w:sz w:val="28"/>
                <w:szCs w:val="28"/>
              </w:rPr>
              <w:t>子项目</w:t>
            </w:r>
          </w:p>
        </w:tc>
        <w:tc>
          <w:tcPr>
            <w:tcW w:w="850" w:type="dxa"/>
            <w:tcBorders>
              <w:top w:val="single" w:color="auto" w:sz="4" w:space="0"/>
              <w:left w:val="nil"/>
              <w:bottom w:val="single" w:color="auto" w:sz="4" w:space="0"/>
              <w:right w:val="single" w:color="auto" w:sz="4" w:space="0"/>
            </w:tcBorders>
            <w:shd w:val="clear" w:color="auto" w:fill="auto"/>
            <w:vAlign w:val="center"/>
          </w:tcPr>
          <w:p>
            <w:pPr>
              <w:widowControl/>
              <w:spacing w:line="500" w:lineRule="exact"/>
              <w:jc w:val="center"/>
              <w:rPr>
                <w:rFonts w:ascii="方正黑体_GBK" w:hAnsi="宋体" w:eastAsia="方正黑体_GBK" w:cs="宋体"/>
                <w:color w:val="000000"/>
                <w:kern w:val="0"/>
                <w:sz w:val="28"/>
                <w:szCs w:val="28"/>
              </w:rPr>
            </w:pPr>
            <w:r>
              <w:rPr>
                <w:rFonts w:hint="eastAsia" w:ascii="方正黑体_GBK" w:hAnsi="宋体" w:eastAsia="方正黑体_GBK" w:cs="宋体"/>
                <w:color w:val="000000"/>
                <w:kern w:val="0"/>
                <w:sz w:val="28"/>
                <w:szCs w:val="28"/>
              </w:rPr>
              <w:t>分值</w:t>
            </w:r>
          </w:p>
        </w:tc>
        <w:tc>
          <w:tcPr>
            <w:tcW w:w="5300" w:type="dxa"/>
            <w:tcBorders>
              <w:top w:val="single" w:color="auto" w:sz="4" w:space="0"/>
              <w:left w:val="nil"/>
              <w:bottom w:val="single" w:color="auto" w:sz="4" w:space="0"/>
              <w:right w:val="single" w:color="auto" w:sz="4" w:space="0"/>
            </w:tcBorders>
            <w:shd w:val="clear" w:color="auto" w:fill="auto"/>
            <w:vAlign w:val="center"/>
          </w:tcPr>
          <w:p>
            <w:pPr>
              <w:widowControl/>
              <w:spacing w:line="500" w:lineRule="exact"/>
              <w:jc w:val="center"/>
              <w:rPr>
                <w:rFonts w:ascii="方正黑体_GBK" w:hAnsi="宋体" w:eastAsia="方正黑体_GBK" w:cs="宋体"/>
                <w:color w:val="000000"/>
                <w:kern w:val="0"/>
                <w:sz w:val="28"/>
                <w:szCs w:val="28"/>
              </w:rPr>
            </w:pPr>
            <w:r>
              <w:rPr>
                <w:rFonts w:hint="eastAsia" w:ascii="方正黑体_GBK" w:hAnsi="宋体" w:eastAsia="方正黑体_GBK" w:cs="宋体"/>
                <w:color w:val="000000"/>
                <w:kern w:val="0"/>
                <w:sz w:val="28"/>
                <w:szCs w:val="28"/>
              </w:rPr>
              <w:t>目标要求及评分办法</w:t>
            </w:r>
          </w:p>
        </w:tc>
      </w:tr>
      <w:tr>
        <w:tblPrEx>
          <w:tblLayout w:type="fixed"/>
          <w:tblCellMar>
            <w:top w:w="0" w:type="dxa"/>
            <w:left w:w="108" w:type="dxa"/>
            <w:bottom w:w="0" w:type="dxa"/>
            <w:right w:w="108" w:type="dxa"/>
          </w:tblCellMar>
        </w:tblPrEx>
        <w:trPr>
          <w:trHeight w:val="939" w:hRule="atLeast"/>
        </w:trPr>
        <w:tc>
          <w:tcPr>
            <w:tcW w:w="1408"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360" w:lineRule="exact"/>
              <w:jc w:val="center"/>
              <w:rPr>
                <w:rFonts w:ascii="方正黑体_GBK" w:hAnsi="宋体" w:eastAsia="方正黑体_GBK" w:cs="宋体"/>
                <w:kern w:val="0"/>
                <w:sz w:val="24"/>
              </w:rPr>
            </w:pPr>
            <w:r>
              <w:rPr>
                <w:rFonts w:hint="eastAsia" w:ascii="方正黑体_GBK" w:hAnsi="宋体" w:eastAsia="方正黑体_GBK" w:cs="宋体"/>
                <w:kern w:val="0"/>
                <w:sz w:val="24"/>
              </w:rPr>
              <w:t>政策落实情况</w:t>
            </w:r>
            <w:r>
              <w:rPr>
                <w:rFonts w:hint="eastAsia" w:ascii="方正黑体_GBK" w:hAnsi="宋体" w:eastAsia="方正黑体_GBK" w:cs="宋体"/>
                <w:kern w:val="0"/>
                <w:sz w:val="24"/>
              </w:rPr>
              <w:br w:type="textWrapping"/>
            </w:r>
            <w:r>
              <w:rPr>
                <w:rFonts w:hint="eastAsia" w:ascii="方正黑体_GBK" w:hAnsi="宋体" w:eastAsia="方正黑体_GBK" w:cs="宋体"/>
                <w:kern w:val="0"/>
                <w:sz w:val="24"/>
              </w:rPr>
              <w:t>（30分）</w:t>
            </w:r>
          </w:p>
        </w:tc>
        <w:tc>
          <w:tcPr>
            <w:tcW w:w="1005"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360" w:lineRule="exact"/>
              <w:jc w:val="center"/>
              <w:rPr>
                <w:rFonts w:ascii="方正黑体_GBK" w:hAnsi="宋体" w:eastAsia="方正黑体_GBK" w:cs="宋体"/>
                <w:kern w:val="0"/>
                <w:sz w:val="24"/>
              </w:rPr>
            </w:pPr>
            <w:r>
              <w:rPr>
                <w:rFonts w:hint="eastAsia" w:ascii="方正黑体_GBK" w:hAnsi="宋体" w:eastAsia="方正黑体_GBK" w:cs="宋体"/>
                <w:kern w:val="0"/>
                <w:sz w:val="24"/>
              </w:rPr>
              <w:t>1</w:t>
            </w:r>
          </w:p>
        </w:tc>
        <w:tc>
          <w:tcPr>
            <w:tcW w:w="1273"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color w:val="000000"/>
                <w:kern w:val="0"/>
                <w:sz w:val="24"/>
              </w:rPr>
            </w:pPr>
            <w:r>
              <w:rPr>
                <w:rFonts w:hint="eastAsia" w:ascii="方正黑体_GBK" w:hAnsi="宋体" w:eastAsia="方正黑体_GBK" w:cs="宋体"/>
                <w:color w:val="000000"/>
                <w:kern w:val="0"/>
                <w:sz w:val="24"/>
              </w:rPr>
              <w:t>缴费政策执行情况</w:t>
            </w:r>
          </w:p>
        </w:tc>
        <w:tc>
          <w:tcPr>
            <w:tcW w:w="850" w:type="dxa"/>
            <w:tcBorders>
              <w:top w:val="nil"/>
              <w:left w:val="nil"/>
              <w:bottom w:val="single" w:color="auto" w:sz="4" w:space="0"/>
              <w:right w:val="single" w:color="auto" w:sz="4" w:space="0"/>
            </w:tcBorders>
            <w:shd w:val="clear" w:color="auto" w:fill="auto"/>
            <w:vAlign w:val="center"/>
          </w:tcPr>
          <w:p>
            <w:pPr>
              <w:widowControl/>
              <w:spacing w:line="360" w:lineRule="exact"/>
              <w:jc w:val="center"/>
              <w:rPr>
                <w:color w:val="000000"/>
                <w:kern w:val="0"/>
                <w:sz w:val="24"/>
              </w:rPr>
            </w:pPr>
            <w:r>
              <w:rPr>
                <w:color w:val="000000"/>
                <w:kern w:val="0"/>
                <w:sz w:val="24"/>
              </w:rPr>
              <w:t>5</w:t>
            </w:r>
          </w:p>
        </w:tc>
        <w:tc>
          <w:tcPr>
            <w:tcW w:w="5300"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严格执行省规定的缴费基数上下限的，得5分，否则不得分。</w:t>
            </w:r>
          </w:p>
        </w:tc>
      </w:tr>
      <w:tr>
        <w:tblPrEx>
          <w:tblLayout w:type="fixed"/>
          <w:tblCellMar>
            <w:top w:w="0" w:type="dxa"/>
            <w:left w:w="108" w:type="dxa"/>
            <w:bottom w:w="0" w:type="dxa"/>
            <w:right w:w="108" w:type="dxa"/>
          </w:tblCellMar>
        </w:tblPrEx>
        <w:trPr>
          <w:trHeight w:val="939" w:hRule="atLeast"/>
        </w:trPr>
        <w:tc>
          <w:tcPr>
            <w:tcW w:w="1408" w:type="dxa"/>
            <w:vMerge w:val="continue"/>
            <w:tcBorders>
              <w:top w:val="nil"/>
              <w:left w:val="single" w:color="auto" w:sz="4" w:space="0"/>
              <w:bottom w:val="single" w:color="auto"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1005" w:type="dxa"/>
            <w:vMerge w:val="continue"/>
            <w:tcBorders>
              <w:top w:val="nil"/>
              <w:left w:val="single" w:color="auto" w:sz="4" w:space="0"/>
              <w:bottom w:val="single" w:color="auto"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1273" w:type="dxa"/>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color w:val="000000"/>
                <w:kern w:val="0"/>
                <w:sz w:val="24"/>
              </w:rPr>
            </w:pPr>
          </w:p>
        </w:tc>
        <w:tc>
          <w:tcPr>
            <w:tcW w:w="850" w:type="dxa"/>
            <w:tcBorders>
              <w:top w:val="nil"/>
              <w:left w:val="nil"/>
              <w:bottom w:val="single" w:color="auto" w:sz="4" w:space="0"/>
              <w:right w:val="single" w:color="auto" w:sz="4" w:space="0"/>
            </w:tcBorders>
            <w:shd w:val="clear" w:color="auto" w:fill="auto"/>
            <w:vAlign w:val="center"/>
          </w:tcPr>
          <w:p>
            <w:pPr>
              <w:widowControl/>
              <w:spacing w:line="360" w:lineRule="exact"/>
              <w:jc w:val="center"/>
              <w:rPr>
                <w:color w:val="000000"/>
                <w:kern w:val="0"/>
                <w:sz w:val="24"/>
              </w:rPr>
            </w:pPr>
            <w:r>
              <w:rPr>
                <w:color w:val="000000"/>
                <w:kern w:val="0"/>
                <w:sz w:val="24"/>
              </w:rPr>
              <w:t>10</w:t>
            </w:r>
          </w:p>
        </w:tc>
        <w:tc>
          <w:tcPr>
            <w:tcW w:w="5300"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严格执行国家和省规定的补缴政策的，得10分，2020年度新增违规补缴的，每发现1人扣1分，扣完为止。</w:t>
            </w:r>
          </w:p>
        </w:tc>
      </w:tr>
      <w:tr>
        <w:tblPrEx>
          <w:tblLayout w:type="fixed"/>
          <w:tblCellMar>
            <w:top w:w="0" w:type="dxa"/>
            <w:left w:w="108" w:type="dxa"/>
            <w:bottom w:w="0" w:type="dxa"/>
            <w:right w:w="108" w:type="dxa"/>
          </w:tblCellMar>
        </w:tblPrEx>
        <w:trPr>
          <w:trHeight w:val="765" w:hRule="atLeast"/>
        </w:trPr>
        <w:tc>
          <w:tcPr>
            <w:tcW w:w="1408" w:type="dxa"/>
            <w:vMerge w:val="continue"/>
            <w:tcBorders>
              <w:top w:val="nil"/>
              <w:left w:val="single" w:color="auto" w:sz="4" w:space="0"/>
              <w:bottom w:val="single" w:color="auto"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1005"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center"/>
              <w:rPr>
                <w:rFonts w:ascii="方正黑体_GBK" w:hAnsi="宋体" w:eastAsia="方正黑体_GBK" w:cs="宋体"/>
                <w:kern w:val="0"/>
                <w:sz w:val="24"/>
              </w:rPr>
            </w:pPr>
            <w:r>
              <w:rPr>
                <w:rFonts w:hint="eastAsia" w:ascii="方正黑体_GBK" w:hAnsi="宋体" w:eastAsia="方正黑体_GBK" w:cs="宋体"/>
                <w:kern w:val="0"/>
                <w:sz w:val="24"/>
              </w:rPr>
              <w:t>2</w:t>
            </w:r>
          </w:p>
        </w:tc>
        <w:tc>
          <w:tcPr>
            <w:tcW w:w="1273"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color w:val="000000"/>
                <w:kern w:val="0"/>
                <w:sz w:val="24"/>
              </w:rPr>
            </w:pPr>
            <w:r>
              <w:rPr>
                <w:rFonts w:hint="eastAsia" w:ascii="方正黑体_GBK" w:hAnsi="宋体" w:eastAsia="方正黑体_GBK" w:cs="宋体"/>
                <w:color w:val="000000"/>
                <w:kern w:val="0"/>
                <w:sz w:val="24"/>
              </w:rPr>
              <w:t>退休审批政策执行情况</w:t>
            </w:r>
          </w:p>
        </w:tc>
        <w:tc>
          <w:tcPr>
            <w:tcW w:w="850" w:type="dxa"/>
            <w:tcBorders>
              <w:top w:val="nil"/>
              <w:left w:val="nil"/>
              <w:bottom w:val="single" w:color="auto" w:sz="4" w:space="0"/>
              <w:right w:val="single" w:color="auto" w:sz="4" w:space="0"/>
            </w:tcBorders>
            <w:shd w:val="clear" w:color="auto" w:fill="auto"/>
            <w:vAlign w:val="center"/>
          </w:tcPr>
          <w:p>
            <w:pPr>
              <w:widowControl/>
              <w:spacing w:line="360" w:lineRule="exact"/>
              <w:jc w:val="center"/>
              <w:rPr>
                <w:color w:val="000000"/>
                <w:kern w:val="0"/>
                <w:sz w:val="24"/>
              </w:rPr>
            </w:pPr>
            <w:r>
              <w:rPr>
                <w:color w:val="000000"/>
                <w:kern w:val="0"/>
                <w:sz w:val="24"/>
              </w:rPr>
              <w:t>4</w:t>
            </w:r>
          </w:p>
        </w:tc>
        <w:tc>
          <w:tcPr>
            <w:tcW w:w="5300"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严格执行国家和省退休年龄规定的，得4分，否则不得分。</w:t>
            </w:r>
          </w:p>
        </w:tc>
      </w:tr>
      <w:tr>
        <w:tblPrEx>
          <w:tblLayout w:type="fixed"/>
          <w:tblCellMar>
            <w:top w:w="0" w:type="dxa"/>
            <w:left w:w="108" w:type="dxa"/>
            <w:bottom w:w="0" w:type="dxa"/>
            <w:right w:w="108" w:type="dxa"/>
          </w:tblCellMar>
        </w:tblPrEx>
        <w:trPr>
          <w:trHeight w:val="972" w:hRule="atLeast"/>
        </w:trPr>
        <w:tc>
          <w:tcPr>
            <w:tcW w:w="1408" w:type="dxa"/>
            <w:vMerge w:val="continue"/>
            <w:tcBorders>
              <w:top w:val="nil"/>
              <w:left w:val="single" w:color="auto" w:sz="4" w:space="0"/>
              <w:bottom w:val="single" w:color="auto"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1005" w:type="dxa"/>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1273" w:type="dxa"/>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color w:val="000000"/>
                <w:kern w:val="0"/>
                <w:sz w:val="24"/>
              </w:rPr>
            </w:pPr>
          </w:p>
        </w:tc>
        <w:tc>
          <w:tcPr>
            <w:tcW w:w="850" w:type="dxa"/>
            <w:tcBorders>
              <w:top w:val="nil"/>
              <w:left w:val="nil"/>
              <w:bottom w:val="single" w:color="auto" w:sz="4" w:space="0"/>
              <w:right w:val="single" w:color="auto" w:sz="4" w:space="0"/>
            </w:tcBorders>
            <w:shd w:val="clear" w:color="auto" w:fill="auto"/>
            <w:vAlign w:val="center"/>
          </w:tcPr>
          <w:p>
            <w:pPr>
              <w:widowControl/>
              <w:spacing w:line="360" w:lineRule="exact"/>
              <w:jc w:val="center"/>
              <w:rPr>
                <w:rFonts w:ascii="宋体" w:hAnsi="宋体" w:cs="宋体"/>
                <w:kern w:val="0"/>
                <w:sz w:val="24"/>
              </w:rPr>
            </w:pPr>
            <w:r>
              <w:rPr>
                <w:rFonts w:hint="eastAsia" w:ascii="宋体" w:hAnsi="宋体" w:cs="宋体"/>
                <w:kern w:val="0"/>
                <w:sz w:val="24"/>
              </w:rPr>
              <w:t>4</w:t>
            </w:r>
          </w:p>
        </w:tc>
        <w:tc>
          <w:tcPr>
            <w:tcW w:w="5300"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严格执行国家和省因病或非因工致残完全丧失劳动能力退休（退职）审批规定的，得4分，对于违规办理的，每发现一起扣1分，扣完为止。</w:t>
            </w:r>
          </w:p>
        </w:tc>
      </w:tr>
      <w:tr>
        <w:tblPrEx>
          <w:tblLayout w:type="fixed"/>
          <w:tblCellMar>
            <w:top w:w="0" w:type="dxa"/>
            <w:left w:w="108" w:type="dxa"/>
            <w:bottom w:w="0" w:type="dxa"/>
            <w:right w:w="108" w:type="dxa"/>
          </w:tblCellMar>
        </w:tblPrEx>
        <w:trPr>
          <w:trHeight w:val="1020" w:hRule="atLeast"/>
        </w:trPr>
        <w:tc>
          <w:tcPr>
            <w:tcW w:w="1408" w:type="dxa"/>
            <w:vMerge w:val="continue"/>
            <w:tcBorders>
              <w:top w:val="nil"/>
              <w:left w:val="single" w:color="auto" w:sz="4" w:space="0"/>
              <w:bottom w:val="single" w:color="auto"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1005" w:type="dxa"/>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1273" w:type="dxa"/>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color w:val="000000"/>
                <w:kern w:val="0"/>
                <w:sz w:val="24"/>
              </w:rPr>
            </w:pPr>
          </w:p>
        </w:tc>
        <w:tc>
          <w:tcPr>
            <w:tcW w:w="850" w:type="dxa"/>
            <w:tcBorders>
              <w:top w:val="nil"/>
              <w:left w:val="nil"/>
              <w:bottom w:val="single" w:color="auto" w:sz="4" w:space="0"/>
              <w:right w:val="single" w:color="auto" w:sz="4" w:space="0"/>
            </w:tcBorders>
            <w:shd w:val="clear" w:color="auto" w:fill="auto"/>
            <w:vAlign w:val="center"/>
          </w:tcPr>
          <w:p>
            <w:pPr>
              <w:widowControl/>
              <w:spacing w:line="360" w:lineRule="exact"/>
              <w:jc w:val="center"/>
              <w:rPr>
                <w:rFonts w:ascii="宋体" w:hAnsi="宋体" w:cs="宋体"/>
                <w:kern w:val="0"/>
                <w:sz w:val="24"/>
              </w:rPr>
            </w:pPr>
            <w:r>
              <w:rPr>
                <w:rFonts w:hint="eastAsia" w:ascii="宋体" w:hAnsi="宋体" w:cs="宋体"/>
                <w:kern w:val="0"/>
                <w:sz w:val="24"/>
              </w:rPr>
              <w:t>4</w:t>
            </w:r>
          </w:p>
        </w:tc>
        <w:tc>
          <w:tcPr>
            <w:tcW w:w="5300"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仿宋_GBK" w:hAnsi="宋体" w:eastAsia="方正仿宋_GBK" w:cs="宋体"/>
                <w:kern w:val="0"/>
                <w:sz w:val="24"/>
              </w:rPr>
            </w:pPr>
            <w:r>
              <w:rPr>
                <w:rFonts w:hint="eastAsia" w:ascii="方正仿宋_GBK" w:hAnsi="宋体" w:eastAsia="方正仿宋_GBK" w:cs="宋体"/>
                <w:kern w:val="0"/>
                <w:sz w:val="24"/>
              </w:rPr>
              <w:t>严格执行国家和省特殊工种提前退休审批规定的，得4分，对于违规办理的，每发现一起扣1分，扣完为止。</w:t>
            </w:r>
          </w:p>
        </w:tc>
      </w:tr>
      <w:tr>
        <w:tblPrEx>
          <w:tblLayout w:type="fixed"/>
          <w:tblCellMar>
            <w:top w:w="0" w:type="dxa"/>
            <w:left w:w="108" w:type="dxa"/>
            <w:bottom w:w="0" w:type="dxa"/>
            <w:right w:w="108" w:type="dxa"/>
          </w:tblCellMar>
        </w:tblPrEx>
        <w:trPr>
          <w:trHeight w:val="1020" w:hRule="atLeast"/>
        </w:trPr>
        <w:tc>
          <w:tcPr>
            <w:tcW w:w="1408" w:type="dxa"/>
            <w:vMerge w:val="continue"/>
            <w:tcBorders>
              <w:top w:val="nil"/>
              <w:left w:val="single" w:color="auto" w:sz="4" w:space="0"/>
              <w:bottom w:val="single" w:color="auto"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1005" w:type="dxa"/>
            <w:tcBorders>
              <w:top w:val="nil"/>
              <w:left w:val="nil"/>
              <w:bottom w:val="single" w:color="auto" w:sz="4" w:space="0"/>
              <w:right w:val="single" w:color="auto" w:sz="4" w:space="0"/>
            </w:tcBorders>
            <w:shd w:val="clear" w:color="auto" w:fill="auto"/>
            <w:vAlign w:val="center"/>
          </w:tcPr>
          <w:p>
            <w:pPr>
              <w:widowControl/>
              <w:spacing w:line="360" w:lineRule="exact"/>
              <w:jc w:val="center"/>
              <w:rPr>
                <w:rFonts w:ascii="方正黑体_GBK" w:hAnsi="宋体" w:eastAsia="方正黑体_GBK" w:cs="宋体"/>
                <w:kern w:val="0"/>
                <w:sz w:val="24"/>
              </w:rPr>
            </w:pPr>
            <w:r>
              <w:rPr>
                <w:rFonts w:hint="eastAsia" w:ascii="方正黑体_GBK" w:hAnsi="宋体" w:eastAsia="方正黑体_GBK" w:cs="宋体"/>
                <w:kern w:val="0"/>
                <w:sz w:val="24"/>
              </w:rPr>
              <w:t>3</w:t>
            </w:r>
          </w:p>
        </w:tc>
        <w:tc>
          <w:tcPr>
            <w:tcW w:w="1273"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color w:val="000000"/>
                <w:kern w:val="0"/>
                <w:sz w:val="24"/>
              </w:rPr>
            </w:pPr>
            <w:r>
              <w:rPr>
                <w:rFonts w:hint="eastAsia" w:ascii="方正黑体_GBK" w:hAnsi="宋体" w:eastAsia="方正黑体_GBK" w:cs="宋体"/>
                <w:color w:val="000000"/>
                <w:kern w:val="0"/>
                <w:sz w:val="24"/>
              </w:rPr>
              <w:t>支付政策执行情况</w:t>
            </w:r>
          </w:p>
        </w:tc>
        <w:tc>
          <w:tcPr>
            <w:tcW w:w="850" w:type="dxa"/>
            <w:tcBorders>
              <w:top w:val="nil"/>
              <w:left w:val="nil"/>
              <w:bottom w:val="single" w:color="auto" w:sz="4" w:space="0"/>
              <w:right w:val="single" w:color="auto" w:sz="4" w:space="0"/>
            </w:tcBorders>
            <w:shd w:val="clear" w:color="auto" w:fill="auto"/>
            <w:vAlign w:val="center"/>
          </w:tcPr>
          <w:p>
            <w:pPr>
              <w:widowControl/>
              <w:spacing w:line="360" w:lineRule="exact"/>
              <w:jc w:val="center"/>
              <w:rPr>
                <w:color w:val="000000"/>
                <w:kern w:val="0"/>
                <w:sz w:val="24"/>
              </w:rPr>
            </w:pPr>
            <w:r>
              <w:rPr>
                <w:color w:val="000000"/>
                <w:kern w:val="0"/>
                <w:sz w:val="24"/>
              </w:rPr>
              <w:t>3</w:t>
            </w:r>
          </w:p>
        </w:tc>
        <w:tc>
          <w:tcPr>
            <w:tcW w:w="5300"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严格执行国家和省规定的养老金支付政策的，得3分。违规在基金中支付的，发现一例扣1分，扣完为止。</w:t>
            </w:r>
          </w:p>
        </w:tc>
      </w:tr>
      <w:tr>
        <w:tblPrEx>
          <w:tblLayout w:type="fixed"/>
          <w:tblCellMar>
            <w:top w:w="0" w:type="dxa"/>
            <w:left w:w="108" w:type="dxa"/>
            <w:bottom w:w="0" w:type="dxa"/>
            <w:right w:w="108" w:type="dxa"/>
          </w:tblCellMar>
        </w:tblPrEx>
        <w:trPr>
          <w:trHeight w:val="1452" w:hRule="atLeast"/>
        </w:trPr>
        <w:tc>
          <w:tcPr>
            <w:tcW w:w="1408"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center"/>
              <w:rPr>
                <w:rFonts w:ascii="方正黑体_GBK" w:hAnsi="宋体" w:eastAsia="方正黑体_GBK" w:cs="宋体"/>
                <w:kern w:val="0"/>
                <w:sz w:val="24"/>
              </w:rPr>
            </w:pPr>
            <w:r>
              <w:rPr>
                <w:rFonts w:hint="eastAsia" w:ascii="方正黑体_GBK" w:hAnsi="宋体" w:eastAsia="方正黑体_GBK" w:cs="宋体"/>
                <w:kern w:val="0"/>
                <w:sz w:val="24"/>
              </w:rPr>
              <w:t>扩面征缴和预算执行情况（45分）</w:t>
            </w:r>
          </w:p>
        </w:tc>
        <w:tc>
          <w:tcPr>
            <w:tcW w:w="1005"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center"/>
              <w:rPr>
                <w:rFonts w:ascii="方正黑体_GBK" w:hAnsi="宋体" w:eastAsia="方正黑体_GBK" w:cs="宋体"/>
                <w:kern w:val="0"/>
                <w:sz w:val="24"/>
              </w:rPr>
            </w:pPr>
            <w:r>
              <w:rPr>
                <w:rFonts w:hint="eastAsia" w:ascii="方正黑体_GBK" w:hAnsi="宋体" w:eastAsia="方正黑体_GBK" w:cs="宋体"/>
                <w:kern w:val="0"/>
                <w:sz w:val="24"/>
              </w:rPr>
              <w:t>4</w:t>
            </w:r>
          </w:p>
        </w:tc>
        <w:tc>
          <w:tcPr>
            <w:tcW w:w="1273"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r>
              <w:rPr>
                <w:rFonts w:hint="eastAsia" w:ascii="方正黑体_GBK" w:hAnsi="宋体" w:eastAsia="方正黑体_GBK" w:cs="宋体"/>
                <w:kern w:val="0"/>
                <w:sz w:val="24"/>
              </w:rPr>
              <w:t>参保缴费情况</w:t>
            </w:r>
          </w:p>
        </w:tc>
        <w:tc>
          <w:tcPr>
            <w:tcW w:w="850" w:type="dxa"/>
            <w:tcBorders>
              <w:top w:val="nil"/>
              <w:left w:val="nil"/>
              <w:bottom w:val="nil"/>
              <w:right w:val="single" w:color="auto" w:sz="4" w:space="0"/>
            </w:tcBorders>
            <w:shd w:val="clear" w:color="auto" w:fill="auto"/>
            <w:vAlign w:val="center"/>
          </w:tcPr>
          <w:p>
            <w:pPr>
              <w:widowControl/>
              <w:spacing w:line="360" w:lineRule="exact"/>
              <w:jc w:val="center"/>
              <w:rPr>
                <w:color w:val="000000"/>
                <w:kern w:val="0"/>
                <w:sz w:val="24"/>
              </w:rPr>
            </w:pPr>
            <w:r>
              <w:rPr>
                <w:color w:val="000000"/>
                <w:kern w:val="0"/>
                <w:sz w:val="24"/>
              </w:rPr>
              <w:t>5</w:t>
            </w:r>
          </w:p>
        </w:tc>
        <w:tc>
          <w:tcPr>
            <w:tcW w:w="5300"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1.单位参保缴费率达到全省平均水平的，得5分，低于的，每低1个百分点扣1分，扣完为止。</w:t>
            </w:r>
            <w:r>
              <w:rPr>
                <w:rFonts w:hint="eastAsia" w:ascii="方正仿宋_GBK" w:hAnsi="宋体" w:eastAsia="方正仿宋_GBK" w:cs="宋体"/>
                <w:color w:val="000000"/>
                <w:kern w:val="0"/>
                <w:sz w:val="24"/>
              </w:rPr>
              <w:br w:type="textWrapping"/>
            </w:r>
            <w:r>
              <w:rPr>
                <w:rFonts w:hint="eastAsia" w:ascii="方正仿宋_GBK" w:hAnsi="宋体" w:eastAsia="方正仿宋_GBK" w:cs="宋体"/>
                <w:color w:val="000000"/>
                <w:kern w:val="0"/>
                <w:sz w:val="24"/>
              </w:rPr>
              <w:t>2.单位参保缴费率较上年下降的，每降1个百分点减0.5分，最多减3分。</w:t>
            </w:r>
          </w:p>
        </w:tc>
      </w:tr>
      <w:tr>
        <w:tblPrEx>
          <w:tblLayout w:type="fixed"/>
          <w:tblCellMar>
            <w:top w:w="0" w:type="dxa"/>
            <w:left w:w="108" w:type="dxa"/>
            <w:bottom w:w="0" w:type="dxa"/>
            <w:right w:w="108" w:type="dxa"/>
          </w:tblCellMar>
        </w:tblPrEx>
        <w:trPr>
          <w:trHeight w:val="1322" w:hRule="atLeast"/>
        </w:trPr>
        <w:tc>
          <w:tcPr>
            <w:tcW w:w="1408" w:type="dxa"/>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1005" w:type="dxa"/>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1273" w:type="dxa"/>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850" w:type="dxa"/>
            <w:tcBorders>
              <w:top w:val="single" w:color="auto" w:sz="4" w:space="0"/>
              <w:left w:val="nil"/>
              <w:bottom w:val="nil"/>
              <w:right w:val="single" w:color="auto" w:sz="4" w:space="0"/>
            </w:tcBorders>
            <w:shd w:val="clear" w:color="auto" w:fill="auto"/>
            <w:vAlign w:val="center"/>
          </w:tcPr>
          <w:p>
            <w:pPr>
              <w:widowControl/>
              <w:spacing w:line="360" w:lineRule="exact"/>
              <w:jc w:val="center"/>
              <w:rPr>
                <w:color w:val="000000"/>
                <w:kern w:val="0"/>
                <w:sz w:val="24"/>
              </w:rPr>
            </w:pPr>
            <w:r>
              <w:rPr>
                <w:color w:val="000000"/>
                <w:kern w:val="0"/>
                <w:sz w:val="24"/>
              </w:rPr>
              <w:t>5</w:t>
            </w:r>
          </w:p>
        </w:tc>
        <w:tc>
          <w:tcPr>
            <w:tcW w:w="5300"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当地灵活就业人员参保占比不超过全省中位数水平的，得5分；每超过1个百分点的，扣0.5分，扣完为止。</w:t>
            </w:r>
          </w:p>
        </w:tc>
      </w:tr>
      <w:tr>
        <w:tblPrEx>
          <w:tblLayout w:type="fixed"/>
          <w:tblCellMar>
            <w:top w:w="0" w:type="dxa"/>
            <w:left w:w="108" w:type="dxa"/>
            <w:bottom w:w="0" w:type="dxa"/>
            <w:right w:w="108" w:type="dxa"/>
          </w:tblCellMar>
        </w:tblPrEx>
        <w:trPr>
          <w:trHeight w:val="1508" w:hRule="atLeast"/>
        </w:trPr>
        <w:tc>
          <w:tcPr>
            <w:tcW w:w="1408" w:type="dxa"/>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1005" w:type="dxa"/>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1273" w:type="dxa"/>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850" w:type="dxa"/>
            <w:tcBorders>
              <w:top w:val="single" w:color="auto" w:sz="4" w:space="0"/>
              <w:left w:val="nil"/>
              <w:bottom w:val="single" w:color="auto" w:sz="4" w:space="0"/>
              <w:right w:val="single" w:color="auto" w:sz="4" w:space="0"/>
            </w:tcBorders>
            <w:shd w:val="clear" w:color="auto" w:fill="auto"/>
            <w:vAlign w:val="center"/>
          </w:tcPr>
          <w:p>
            <w:pPr>
              <w:widowControl/>
              <w:spacing w:line="360" w:lineRule="exact"/>
              <w:jc w:val="center"/>
              <w:rPr>
                <w:rFonts w:ascii="宋体" w:hAnsi="宋体" w:cs="宋体"/>
                <w:kern w:val="0"/>
                <w:sz w:val="24"/>
              </w:rPr>
            </w:pPr>
            <w:r>
              <w:rPr>
                <w:rFonts w:hint="eastAsia" w:ascii="宋体" w:hAnsi="宋体" w:cs="宋体"/>
                <w:kern w:val="0"/>
                <w:sz w:val="24"/>
              </w:rPr>
              <w:t>5</w:t>
            </w:r>
          </w:p>
        </w:tc>
        <w:tc>
          <w:tcPr>
            <w:tcW w:w="5300"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当地单位参保人数与单位就业人数之比达到全省平均水平的，得5分。低于的，每低1个百分点扣0.2分，扣完为止。</w:t>
            </w:r>
          </w:p>
        </w:tc>
      </w:tr>
      <w:tr>
        <w:tblPrEx>
          <w:tblLayout w:type="fixed"/>
          <w:tblCellMar>
            <w:top w:w="0" w:type="dxa"/>
            <w:left w:w="108" w:type="dxa"/>
            <w:bottom w:w="0" w:type="dxa"/>
            <w:right w:w="108" w:type="dxa"/>
          </w:tblCellMar>
        </w:tblPrEx>
        <w:trPr>
          <w:trHeight w:val="1978" w:hRule="atLeast"/>
        </w:trPr>
        <w:tc>
          <w:tcPr>
            <w:tcW w:w="1408" w:type="dxa"/>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1005"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center"/>
              <w:rPr>
                <w:rFonts w:ascii="方正黑体_GBK" w:hAnsi="宋体" w:eastAsia="方正黑体_GBK" w:cs="宋体"/>
                <w:kern w:val="0"/>
                <w:sz w:val="24"/>
              </w:rPr>
            </w:pPr>
            <w:r>
              <w:rPr>
                <w:rFonts w:hint="eastAsia" w:ascii="方正黑体_GBK" w:hAnsi="宋体" w:eastAsia="方正黑体_GBK" w:cs="宋体"/>
                <w:kern w:val="0"/>
                <w:sz w:val="24"/>
              </w:rPr>
              <w:t>5</w:t>
            </w:r>
          </w:p>
        </w:tc>
        <w:tc>
          <w:tcPr>
            <w:tcW w:w="1273"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color w:val="000000"/>
                <w:kern w:val="0"/>
                <w:sz w:val="24"/>
              </w:rPr>
            </w:pPr>
            <w:r>
              <w:rPr>
                <w:rFonts w:hint="eastAsia" w:ascii="方正黑体_GBK" w:hAnsi="宋体" w:eastAsia="方正黑体_GBK" w:cs="宋体"/>
                <w:color w:val="000000"/>
                <w:kern w:val="0"/>
                <w:sz w:val="24"/>
              </w:rPr>
              <w:t>人均缴费基数</w:t>
            </w:r>
          </w:p>
        </w:tc>
        <w:tc>
          <w:tcPr>
            <w:tcW w:w="850" w:type="dxa"/>
            <w:tcBorders>
              <w:top w:val="nil"/>
              <w:left w:val="nil"/>
              <w:bottom w:val="single" w:color="auto" w:sz="4" w:space="0"/>
              <w:right w:val="single" w:color="auto" w:sz="4" w:space="0"/>
            </w:tcBorders>
            <w:shd w:val="clear" w:color="auto" w:fill="auto"/>
            <w:vAlign w:val="center"/>
          </w:tcPr>
          <w:p>
            <w:pPr>
              <w:widowControl/>
              <w:spacing w:line="360" w:lineRule="exact"/>
              <w:jc w:val="center"/>
              <w:rPr>
                <w:rFonts w:ascii="宋体" w:hAnsi="宋体" w:cs="宋体"/>
                <w:kern w:val="0"/>
                <w:sz w:val="24"/>
              </w:rPr>
            </w:pPr>
            <w:r>
              <w:rPr>
                <w:rFonts w:hint="eastAsia" w:ascii="宋体" w:hAnsi="宋体" w:cs="宋体"/>
                <w:kern w:val="0"/>
                <w:sz w:val="24"/>
              </w:rPr>
              <w:t>5</w:t>
            </w:r>
          </w:p>
        </w:tc>
        <w:tc>
          <w:tcPr>
            <w:tcW w:w="5300" w:type="dxa"/>
            <w:tcBorders>
              <w:top w:val="single" w:color="auto" w:sz="4" w:space="0"/>
              <w:left w:val="nil"/>
              <w:bottom w:val="single" w:color="auto" w:sz="4" w:space="0"/>
              <w:right w:val="single" w:color="auto" w:sz="4" w:space="0"/>
            </w:tcBorders>
            <w:shd w:val="clear" w:color="000000" w:fill="auto"/>
            <w:vAlign w:val="center"/>
          </w:tcPr>
          <w:p>
            <w:pPr>
              <w:widowControl/>
              <w:spacing w:line="360" w:lineRule="exact"/>
              <w:jc w:val="left"/>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单位参保人员人均缴费基数占当地上年全口径城镇就业人员平均工资的比例达到全省平均水平的，得5分。低于的，每低1个百分点扣0.2分，扣完为止；高于的，每高1个百分点另加0.2分，最多加3分。</w:t>
            </w:r>
          </w:p>
        </w:tc>
      </w:tr>
      <w:tr>
        <w:tblPrEx>
          <w:tblLayout w:type="fixed"/>
          <w:tblCellMar>
            <w:top w:w="0" w:type="dxa"/>
            <w:left w:w="108" w:type="dxa"/>
            <w:bottom w:w="0" w:type="dxa"/>
            <w:right w:w="108" w:type="dxa"/>
          </w:tblCellMar>
        </w:tblPrEx>
        <w:trPr>
          <w:trHeight w:val="1451" w:hRule="atLeast"/>
        </w:trPr>
        <w:tc>
          <w:tcPr>
            <w:tcW w:w="1408" w:type="dxa"/>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1005" w:type="dxa"/>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1273" w:type="dxa"/>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color w:val="000000"/>
                <w:kern w:val="0"/>
                <w:sz w:val="24"/>
              </w:rPr>
            </w:pPr>
          </w:p>
        </w:tc>
        <w:tc>
          <w:tcPr>
            <w:tcW w:w="850" w:type="dxa"/>
            <w:tcBorders>
              <w:top w:val="nil"/>
              <w:left w:val="nil"/>
              <w:bottom w:val="single" w:color="auto" w:sz="4" w:space="0"/>
              <w:right w:val="single" w:color="auto" w:sz="4" w:space="0"/>
            </w:tcBorders>
            <w:shd w:val="clear" w:color="auto" w:fill="auto"/>
            <w:vAlign w:val="center"/>
          </w:tcPr>
          <w:p>
            <w:pPr>
              <w:widowControl/>
              <w:spacing w:line="360" w:lineRule="exact"/>
              <w:jc w:val="center"/>
              <w:rPr>
                <w:rFonts w:ascii="宋体" w:hAnsi="宋体" w:cs="宋体"/>
                <w:kern w:val="0"/>
                <w:sz w:val="24"/>
              </w:rPr>
            </w:pPr>
            <w:r>
              <w:rPr>
                <w:rFonts w:hint="eastAsia" w:ascii="宋体" w:hAnsi="宋体" w:cs="宋体"/>
                <w:kern w:val="0"/>
                <w:sz w:val="24"/>
              </w:rPr>
              <w:t>5</w:t>
            </w:r>
          </w:p>
        </w:tc>
        <w:tc>
          <w:tcPr>
            <w:tcW w:w="5300" w:type="dxa"/>
            <w:tcBorders>
              <w:top w:val="single" w:color="auto" w:sz="4" w:space="0"/>
              <w:left w:val="nil"/>
              <w:bottom w:val="single" w:color="auto" w:sz="4" w:space="0"/>
              <w:right w:val="single" w:color="auto" w:sz="4" w:space="0"/>
            </w:tcBorders>
            <w:shd w:val="clear" w:color="000000" w:fill="auto"/>
            <w:vAlign w:val="center"/>
          </w:tcPr>
          <w:p>
            <w:pPr>
              <w:widowControl/>
              <w:spacing w:line="360" w:lineRule="exact"/>
              <w:jc w:val="left"/>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单位人均缴费基数较上年增幅达到当地上年城镇私营单位就业人员平均工资增长率的，得5分；低于的，每低1个百分点减0.5分，扣完为止。</w:t>
            </w:r>
          </w:p>
        </w:tc>
      </w:tr>
      <w:tr>
        <w:tblPrEx>
          <w:tblLayout w:type="fixed"/>
          <w:tblCellMar>
            <w:top w:w="0" w:type="dxa"/>
            <w:left w:w="108" w:type="dxa"/>
            <w:bottom w:w="0" w:type="dxa"/>
            <w:right w:w="108" w:type="dxa"/>
          </w:tblCellMar>
        </w:tblPrEx>
        <w:trPr>
          <w:trHeight w:val="1696" w:hRule="atLeast"/>
        </w:trPr>
        <w:tc>
          <w:tcPr>
            <w:tcW w:w="1408" w:type="dxa"/>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1005" w:type="dxa"/>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1273" w:type="dxa"/>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color w:val="000000"/>
                <w:kern w:val="0"/>
                <w:sz w:val="24"/>
              </w:rPr>
            </w:pPr>
          </w:p>
        </w:tc>
        <w:tc>
          <w:tcPr>
            <w:tcW w:w="850" w:type="dxa"/>
            <w:tcBorders>
              <w:top w:val="nil"/>
              <w:left w:val="nil"/>
              <w:bottom w:val="single" w:color="auto" w:sz="4" w:space="0"/>
              <w:right w:val="single" w:color="auto" w:sz="4" w:space="0"/>
            </w:tcBorders>
            <w:shd w:val="clear" w:color="auto" w:fill="auto"/>
            <w:vAlign w:val="center"/>
          </w:tcPr>
          <w:p>
            <w:pPr>
              <w:widowControl/>
              <w:spacing w:line="360" w:lineRule="exact"/>
              <w:jc w:val="center"/>
              <w:rPr>
                <w:kern w:val="0"/>
                <w:sz w:val="24"/>
              </w:rPr>
            </w:pPr>
            <w:r>
              <w:rPr>
                <w:kern w:val="0"/>
                <w:sz w:val="24"/>
              </w:rPr>
              <w:t>5</w:t>
            </w:r>
          </w:p>
        </w:tc>
        <w:tc>
          <w:tcPr>
            <w:tcW w:w="5300"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仿宋_GBK" w:hAnsi="宋体" w:eastAsia="方正仿宋_GBK" w:cs="宋体"/>
                <w:kern w:val="0"/>
                <w:sz w:val="24"/>
              </w:rPr>
            </w:pPr>
            <w:r>
              <w:rPr>
                <w:rFonts w:hint="eastAsia" w:ascii="方正仿宋_GBK" w:hAnsi="宋体" w:eastAsia="方正仿宋_GBK" w:cs="宋体"/>
                <w:kern w:val="0"/>
                <w:sz w:val="24"/>
              </w:rPr>
              <w:t>灵活就业人员人均缴费基数达到全省最低缴费基数的，得5分；低于的，每低1个百分点扣0.2分，扣完为止；高于全省的，每高出1个百分点加0.2分，最多加3分。</w:t>
            </w:r>
          </w:p>
        </w:tc>
      </w:tr>
      <w:tr>
        <w:tblPrEx>
          <w:tblLayout w:type="fixed"/>
          <w:tblCellMar>
            <w:top w:w="0" w:type="dxa"/>
            <w:left w:w="108" w:type="dxa"/>
            <w:bottom w:w="0" w:type="dxa"/>
            <w:right w:w="108" w:type="dxa"/>
          </w:tblCellMar>
        </w:tblPrEx>
        <w:trPr>
          <w:trHeight w:val="1518" w:hRule="atLeast"/>
        </w:trPr>
        <w:tc>
          <w:tcPr>
            <w:tcW w:w="1408" w:type="dxa"/>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1005" w:type="dxa"/>
            <w:tcBorders>
              <w:top w:val="nil"/>
              <w:left w:val="nil"/>
              <w:bottom w:val="single" w:color="auto" w:sz="4" w:space="0"/>
              <w:right w:val="single" w:color="auto" w:sz="4" w:space="0"/>
            </w:tcBorders>
            <w:shd w:val="clear" w:color="auto" w:fill="auto"/>
            <w:vAlign w:val="center"/>
          </w:tcPr>
          <w:p>
            <w:pPr>
              <w:widowControl/>
              <w:spacing w:line="360" w:lineRule="exact"/>
              <w:jc w:val="center"/>
              <w:rPr>
                <w:rFonts w:ascii="方正黑体_GBK" w:hAnsi="宋体" w:eastAsia="方正黑体_GBK" w:cs="宋体"/>
                <w:kern w:val="0"/>
                <w:sz w:val="24"/>
              </w:rPr>
            </w:pPr>
            <w:r>
              <w:rPr>
                <w:rFonts w:hint="eastAsia" w:ascii="方正黑体_GBK" w:hAnsi="宋体" w:eastAsia="方正黑体_GBK" w:cs="宋体"/>
                <w:kern w:val="0"/>
                <w:sz w:val="24"/>
              </w:rPr>
              <w:t>6</w:t>
            </w:r>
          </w:p>
        </w:tc>
        <w:tc>
          <w:tcPr>
            <w:tcW w:w="1273"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color w:val="000000"/>
                <w:kern w:val="0"/>
                <w:sz w:val="24"/>
              </w:rPr>
            </w:pPr>
            <w:r>
              <w:rPr>
                <w:rFonts w:hint="eastAsia" w:ascii="方正黑体_GBK" w:hAnsi="宋体" w:eastAsia="方正黑体_GBK" w:cs="宋体"/>
                <w:color w:val="000000"/>
                <w:kern w:val="0"/>
                <w:sz w:val="24"/>
              </w:rPr>
              <w:t>基金预算收入执行情况</w:t>
            </w:r>
          </w:p>
        </w:tc>
        <w:tc>
          <w:tcPr>
            <w:tcW w:w="850" w:type="dxa"/>
            <w:tcBorders>
              <w:top w:val="nil"/>
              <w:left w:val="nil"/>
              <w:bottom w:val="single" w:color="auto" w:sz="4" w:space="0"/>
              <w:right w:val="single" w:color="auto" w:sz="4" w:space="0"/>
            </w:tcBorders>
            <w:shd w:val="clear" w:color="auto" w:fill="auto"/>
            <w:vAlign w:val="center"/>
          </w:tcPr>
          <w:p>
            <w:pPr>
              <w:widowControl/>
              <w:spacing w:line="360" w:lineRule="exact"/>
              <w:jc w:val="center"/>
              <w:rPr>
                <w:color w:val="000000"/>
                <w:kern w:val="0"/>
                <w:sz w:val="24"/>
              </w:rPr>
            </w:pPr>
            <w:r>
              <w:rPr>
                <w:color w:val="000000"/>
                <w:kern w:val="0"/>
                <w:sz w:val="24"/>
              </w:rPr>
              <w:t>15</w:t>
            </w:r>
          </w:p>
        </w:tc>
        <w:tc>
          <w:tcPr>
            <w:tcW w:w="5300"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仿宋_GBK" w:hAnsi="宋体" w:eastAsia="方正仿宋_GBK" w:cs="宋体"/>
                <w:kern w:val="0"/>
                <w:sz w:val="24"/>
              </w:rPr>
            </w:pPr>
            <w:r>
              <w:rPr>
                <w:rFonts w:hint="eastAsia" w:ascii="方正仿宋_GBK" w:hAnsi="宋体" w:eastAsia="方正仿宋_GBK" w:cs="宋体"/>
                <w:kern w:val="0"/>
                <w:sz w:val="24"/>
              </w:rPr>
              <w:t>完成年度基金收入预算的，得15分；未完成的，按低出的百分点扣分，扣完为止；超额完成的，按超出的百分点加分，最多加3分。</w:t>
            </w:r>
          </w:p>
        </w:tc>
      </w:tr>
      <w:tr>
        <w:tblPrEx>
          <w:tblLayout w:type="fixed"/>
          <w:tblCellMar>
            <w:top w:w="0" w:type="dxa"/>
            <w:left w:w="108" w:type="dxa"/>
            <w:bottom w:w="0" w:type="dxa"/>
            <w:right w:w="108" w:type="dxa"/>
          </w:tblCellMar>
        </w:tblPrEx>
        <w:trPr>
          <w:trHeight w:val="1110" w:hRule="atLeast"/>
        </w:trPr>
        <w:tc>
          <w:tcPr>
            <w:tcW w:w="1408" w:type="dxa"/>
            <w:tcBorders>
              <w:top w:val="nil"/>
              <w:left w:val="single" w:color="auto" w:sz="4" w:space="0"/>
              <w:bottom w:val="single" w:color="auto" w:sz="4" w:space="0"/>
              <w:right w:val="single" w:color="auto" w:sz="4" w:space="0"/>
            </w:tcBorders>
            <w:shd w:val="clear" w:color="auto" w:fill="auto"/>
            <w:vAlign w:val="center"/>
          </w:tcPr>
          <w:p>
            <w:pPr>
              <w:widowControl/>
              <w:spacing w:line="360" w:lineRule="exact"/>
              <w:jc w:val="center"/>
              <w:rPr>
                <w:rFonts w:ascii="方正黑体_GBK" w:hAnsi="宋体" w:eastAsia="方正黑体_GBK" w:cs="宋体"/>
                <w:kern w:val="0"/>
                <w:sz w:val="24"/>
              </w:rPr>
            </w:pPr>
            <w:r>
              <w:rPr>
                <w:rFonts w:hint="eastAsia" w:ascii="方正黑体_GBK" w:hAnsi="宋体" w:eastAsia="方正黑体_GBK" w:cs="宋体"/>
                <w:kern w:val="0"/>
                <w:sz w:val="24"/>
              </w:rPr>
              <w:t>确保发放</w:t>
            </w:r>
            <w:r>
              <w:rPr>
                <w:rFonts w:hint="eastAsia" w:ascii="方正黑体_GBK" w:hAnsi="宋体" w:eastAsia="方正黑体_GBK" w:cs="宋体"/>
                <w:kern w:val="0"/>
                <w:sz w:val="24"/>
              </w:rPr>
              <w:br w:type="textWrapping"/>
            </w:r>
            <w:r>
              <w:rPr>
                <w:rFonts w:hint="eastAsia" w:ascii="方正黑体_GBK" w:hAnsi="宋体" w:eastAsia="方正黑体_GBK" w:cs="宋体"/>
                <w:kern w:val="0"/>
                <w:sz w:val="24"/>
              </w:rPr>
              <w:t>情况     （10分）</w:t>
            </w:r>
          </w:p>
        </w:tc>
        <w:tc>
          <w:tcPr>
            <w:tcW w:w="1005" w:type="dxa"/>
            <w:tcBorders>
              <w:top w:val="nil"/>
              <w:left w:val="nil"/>
              <w:bottom w:val="single" w:color="auto" w:sz="4" w:space="0"/>
              <w:right w:val="single" w:color="auto" w:sz="4" w:space="0"/>
            </w:tcBorders>
            <w:shd w:val="clear" w:color="auto" w:fill="auto"/>
            <w:vAlign w:val="center"/>
          </w:tcPr>
          <w:p>
            <w:pPr>
              <w:widowControl/>
              <w:spacing w:line="360" w:lineRule="exact"/>
              <w:jc w:val="center"/>
              <w:rPr>
                <w:rFonts w:ascii="宋体" w:hAnsi="宋体" w:cs="宋体"/>
                <w:kern w:val="0"/>
                <w:sz w:val="24"/>
              </w:rPr>
            </w:pPr>
            <w:r>
              <w:rPr>
                <w:rFonts w:hint="eastAsia" w:ascii="宋体" w:hAnsi="宋体" w:cs="宋体"/>
                <w:kern w:val="0"/>
                <w:sz w:val="24"/>
              </w:rPr>
              <w:t>7</w:t>
            </w:r>
          </w:p>
        </w:tc>
        <w:tc>
          <w:tcPr>
            <w:tcW w:w="1273"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color w:val="000000"/>
                <w:kern w:val="0"/>
                <w:sz w:val="24"/>
              </w:rPr>
            </w:pPr>
            <w:r>
              <w:rPr>
                <w:rFonts w:hint="eastAsia" w:ascii="方正黑体_GBK" w:hAnsi="宋体" w:eastAsia="方正黑体_GBK" w:cs="宋体"/>
                <w:color w:val="000000"/>
                <w:kern w:val="0"/>
                <w:sz w:val="24"/>
              </w:rPr>
              <w:t>养老金按时足额发放情况</w:t>
            </w:r>
          </w:p>
        </w:tc>
        <w:tc>
          <w:tcPr>
            <w:tcW w:w="850" w:type="dxa"/>
            <w:tcBorders>
              <w:top w:val="nil"/>
              <w:left w:val="nil"/>
              <w:bottom w:val="single" w:color="auto" w:sz="4" w:space="0"/>
              <w:right w:val="single" w:color="auto" w:sz="4" w:space="0"/>
            </w:tcBorders>
            <w:shd w:val="clear" w:color="auto" w:fill="auto"/>
            <w:vAlign w:val="center"/>
          </w:tcPr>
          <w:p>
            <w:pPr>
              <w:widowControl/>
              <w:spacing w:line="360" w:lineRule="exact"/>
              <w:jc w:val="center"/>
              <w:rPr>
                <w:color w:val="000000"/>
                <w:kern w:val="0"/>
                <w:sz w:val="24"/>
              </w:rPr>
            </w:pPr>
            <w:r>
              <w:rPr>
                <w:color w:val="000000"/>
                <w:kern w:val="0"/>
                <w:sz w:val="24"/>
              </w:rPr>
              <w:t>10</w:t>
            </w:r>
          </w:p>
        </w:tc>
        <w:tc>
          <w:tcPr>
            <w:tcW w:w="5300"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当期做到基本养老金按时足额发放的，得10分；当期出现拖欠的，取消激励资格。</w:t>
            </w:r>
          </w:p>
        </w:tc>
      </w:tr>
      <w:tr>
        <w:tblPrEx>
          <w:tblLayout w:type="fixed"/>
          <w:tblCellMar>
            <w:top w:w="0" w:type="dxa"/>
            <w:left w:w="108" w:type="dxa"/>
            <w:bottom w:w="0" w:type="dxa"/>
            <w:right w:w="108" w:type="dxa"/>
          </w:tblCellMar>
        </w:tblPrEx>
        <w:trPr>
          <w:trHeight w:val="1296" w:hRule="atLeast"/>
        </w:trPr>
        <w:tc>
          <w:tcPr>
            <w:tcW w:w="1408" w:type="dxa"/>
            <w:tcBorders>
              <w:top w:val="nil"/>
              <w:left w:val="single" w:color="auto" w:sz="4" w:space="0"/>
              <w:bottom w:val="single" w:color="auto" w:sz="4" w:space="0"/>
              <w:right w:val="single" w:color="auto" w:sz="4" w:space="0"/>
            </w:tcBorders>
            <w:shd w:val="clear" w:color="auto" w:fill="auto"/>
            <w:vAlign w:val="center"/>
          </w:tcPr>
          <w:p>
            <w:pPr>
              <w:widowControl/>
              <w:spacing w:line="360" w:lineRule="exact"/>
              <w:jc w:val="center"/>
              <w:rPr>
                <w:rFonts w:ascii="方正黑体_GBK" w:hAnsi="宋体" w:eastAsia="方正黑体_GBK" w:cs="宋体"/>
                <w:kern w:val="0"/>
                <w:sz w:val="24"/>
              </w:rPr>
            </w:pPr>
            <w:r>
              <w:rPr>
                <w:rFonts w:hint="eastAsia" w:ascii="方正黑体_GBK" w:hAnsi="宋体" w:eastAsia="方正黑体_GBK" w:cs="宋体"/>
                <w:kern w:val="0"/>
                <w:sz w:val="24"/>
              </w:rPr>
              <w:t>风险防控情况（5分）</w:t>
            </w:r>
          </w:p>
        </w:tc>
        <w:tc>
          <w:tcPr>
            <w:tcW w:w="1005" w:type="dxa"/>
            <w:tcBorders>
              <w:top w:val="nil"/>
              <w:left w:val="nil"/>
              <w:bottom w:val="single" w:color="auto" w:sz="4" w:space="0"/>
              <w:right w:val="single" w:color="auto" w:sz="4" w:space="0"/>
            </w:tcBorders>
            <w:shd w:val="clear" w:color="auto" w:fill="auto"/>
            <w:vAlign w:val="center"/>
          </w:tcPr>
          <w:p>
            <w:pPr>
              <w:widowControl/>
              <w:spacing w:line="360" w:lineRule="exact"/>
              <w:jc w:val="center"/>
              <w:rPr>
                <w:rFonts w:ascii="方正黑体_GBK" w:hAnsi="宋体" w:eastAsia="方正黑体_GBK" w:cs="宋体"/>
                <w:kern w:val="0"/>
                <w:sz w:val="24"/>
              </w:rPr>
            </w:pPr>
            <w:r>
              <w:rPr>
                <w:rFonts w:hint="eastAsia" w:ascii="方正黑体_GBK" w:hAnsi="宋体" w:eastAsia="方正黑体_GBK" w:cs="宋体"/>
                <w:kern w:val="0"/>
                <w:sz w:val="24"/>
              </w:rPr>
              <w:t>8</w:t>
            </w:r>
          </w:p>
        </w:tc>
        <w:tc>
          <w:tcPr>
            <w:tcW w:w="1273"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r>
              <w:rPr>
                <w:rFonts w:hint="eastAsia" w:ascii="方正黑体_GBK" w:hAnsi="宋体" w:eastAsia="方正黑体_GBK" w:cs="宋体"/>
                <w:kern w:val="0"/>
                <w:sz w:val="24"/>
              </w:rPr>
              <w:t>有无违法违规案件发生</w:t>
            </w:r>
          </w:p>
        </w:tc>
        <w:tc>
          <w:tcPr>
            <w:tcW w:w="850" w:type="dxa"/>
            <w:tcBorders>
              <w:top w:val="nil"/>
              <w:left w:val="nil"/>
              <w:bottom w:val="single" w:color="auto" w:sz="4" w:space="0"/>
              <w:right w:val="single" w:color="auto" w:sz="4" w:space="0"/>
            </w:tcBorders>
            <w:shd w:val="clear" w:color="auto" w:fill="auto"/>
            <w:vAlign w:val="center"/>
          </w:tcPr>
          <w:p>
            <w:pPr>
              <w:widowControl/>
              <w:spacing w:line="360" w:lineRule="exact"/>
              <w:jc w:val="center"/>
              <w:rPr>
                <w:color w:val="000000"/>
                <w:kern w:val="0"/>
                <w:sz w:val="24"/>
              </w:rPr>
            </w:pPr>
            <w:r>
              <w:rPr>
                <w:color w:val="000000"/>
                <w:kern w:val="0"/>
                <w:sz w:val="24"/>
              </w:rPr>
              <w:t>5</w:t>
            </w:r>
          </w:p>
        </w:tc>
        <w:tc>
          <w:tcPr>
            <w:tcW w:w="5300"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仿宋_GBK" w:hAnsi="宋体" w:eastAsia="方正仿宋_GBK" w:cs="宋体"/>
                <w:kern w:val="0"/>
                <w:sz w:val="24"/>
              </w:rPr>
            </w:pPr>
            <w:r>
              <w:rPr>
                <w:rFonts w:hint="eastAsia" w:ascii="方正仿宋_GBK" w:hAnsi="宋体" w:eastAsia="方正仿宋_GBK" w:cs="宋体"/>
                <w:kern w:val="0"/>
                <w:sz w:val="24"/>
              </w:rPr>
              <w:t>发生违法违规案件、发生造成较大社会影响事件的，取消激励资格。因违反国家和省政策规定被省约谈、查处的，不得分。</w:t>
            </w:r>
          </w:p>
        </w:tc>
      </w:tr>
      <w:tr>
        <w:tblPrEx>
          <w:tblLayout w:type="fixed"/>
          <w:tblCellMar>
            <w:top w:w="0" w:type="dxa"/>
            <w:left w:w="108" w:type="dxa"/>
            <w:bottom w:w="0" w:type="dxa"/>
            <w:right w:w="108" w:type="dxa"/>
          </w:tblCellMar>
        </w:tblPrEx>
        <w:trPr>
          <w:trHeight w:val="1191" w:hRule="atLeast"/>
        </w:trPr>
        <w:tc>
          <w:tcPr>
            <w:tcW w:w="1408" w:type="dxa"/>
            <w:tcBorders>
              <w:top w:val="nil"/>
              <w:left w:val="single" w:color="auto" w:sz="4" w:space="0"/>
              <w:bottom w:val="nil"/>
              <w:right w:val="single" w:color="auto" w:sz="4" w:space="0"/>
            </w:tcBorders>
            <w:shd w:val="clear" w:color="auto" w:fill="auto"/>
            <w:vAlign w:val="center"/>
          </w:tcPr>
          <w:p>
            <w:pPr>
              <w:widowControl/>
              <w:spacing w:line="360" w:lineRule="exact"/>
              <w:jc w:val="center"/>
              <w:rPr>
                <w:rFonts w:ascii="方正黑体_GBK" w:hAnsi="宋体" w:eastAsia="方正黑体_GBK" w:cs="宋体"/>
                <w:kern w:val="0"/>
                <w:sz w:val="24"/>
              </w:rPr>
            </w:pPr>
            <w:r>
              <w:rPr>
                <w:rFonts w:hint="eastAsia" w:ascii="方正黑体_GBK" w:hAnsi="宋体" w:eastAsia="方正黑体_GBK" w:cs="宋体"/>
                <w:kern w:val="0"/>
                <w:sz w:val="24"/>
              </w:rPr>
              <w:t>审计问题整改情况（10分）</w:t>
            </w:r>
          </w:p>
        </w:tc>
        <w:tc>
          <w:tcPr>
            <w:tcW w:w="1005" w:type="dxa"/>
            <w:tcBorders>
              <w:top w:val="nil"/>
              <w:left w:val="nil"/>
              <w:bottom w:val="nil"/>
              <w:right w:val="single" w:color="auto" w:sz="4" w:space="0"/>
            </w:tcBorders>
            <w:shd w:val="clear" w:color="auto" w:fill="auto"/>
            <w:vAlign w:val="center"/>
          </w:tcPr>
          <w:p>
            <w:pPr>
              <w:widowControl/>
              <w:spacing w:line="360" w:lineRule="exact"/>
              <w:jc w:val="center"/>
              <w:rPr>
                <w:rFonts w:ascii="方正黑体_GBK" w:hAnsi="宋体" w:eastAsia="方正黑体_GBK" w:cs="宋体"/>
                <w:kern w:val="0"/>
                <w:sz w:val="24"/>
              </w:rPr>
            </w:pPr>
            <w:r>
              <w:rPr>
                <w:rFonts w:hint="eastAsia" w:ascii="方正黑体_GBK" w:hAnsi="宋体" w:eastAsia="方正黑体_GBK" w:cs="宋体"/>
                <w:kern w:val="0"/>
                <w:sz w:val="24"/>
              </w:rPr>
              <w:t>9</w:t>
            </w:r>
          </w:p>
        </w:tc>
        <w:tc>
          <w:tcPr>
            <w:tcW w:w="1273"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r>
              <w:rPr>
                <w:rFonts w:hint="eastAsia" w:ascii="方正黑体_GBK" w:hAnsi="宋体" w:eastAsia="方正黑体_GBK" w:cs="宋体"/>
                <w:kern w:val="0"/>
                <w:sz w:val="24"/>
              </w:rPr>
              <w:t>是否完成审计问题整改</w:t>
            </w:r>
          </w:p>
        </w:tc>
        <w:tc>
          <w:tcPr>
            <w:tcW w:w="850" w:type="dxa"/>
            <w:tcBorders>
              <w:top w:val="nil"/>
              <w:left w:val="nil"/>
              <w:bottom w:val="single" w:color="auto" w:sz="4" w:space="0"/>
              <w:right w:val="single" w:color="auto" w:sz="4" w:space="0"/>
            </w:tcBorders>
            <w:shd w:val="clear" w:color="auto" w:fill="auto"/>
            <w:vAlign w:val="center"/>
          </w:tcPr>
          <w:p>
            <w:pPr>
              <w:widowControl/>
              <w:spacing w:line="360" w:lineRule="exact"/>
              <w:jc w:val="center"/>
              <w:rPr>
                <w:color w:val="000000"/>
                <w:kern w:val="0"/>
                <w:sz w:val="24"/>
              </w:rPr>
            </w:pPr>
            <w:r>
              <w:rPr>
                <w:color w:val="000000"/>
                <w:kern w:val="0"/>
                <w:sz w:val="24"/>
              </w:rPr>
              <w:t>10</w:t>
            </w:r>
          </w:p>
        </w:tc>
        <w:tc>
          <w:tcPr>
            <w:tcW w:w="5300"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仿宋_GBK" w:hAnsi="宋体" w:eastAsia="方正仿宋_GBK" w:cs="宋体"/>
                <w:kern w:val="0"/>
                <w:sz w:val="24"/>
              </w:rPr>
            </w:pPr>
            <w:r>
              <w:rPr>
                <w:rFonts w:hint="eastAsia" w:ascii="方正仿宋_GBK" w:hAnsi="宋体" w:eastAsia="方正仿宋_GBK" w:cs="宋体"/>
                <w:kern w:val="0"/>
                <w:sz w:val="24"/>
              </w:rPr>
              <w:t>对全省企业职工基本养老保险审计发现的问题，有一项未整改落实到位的，扣2分，扣完为止。</w:t>
            </w:r>
          </w:p>
        </w:tc>
      </w:tr>
      <w:tr>
        <w:tblPrEx>
          <w:tblLayout w:type="fixed"/>
          <w:tblCellMar>
            <w:top w:w="0" w:type="dxa"/>
            <w:left w:w="108" w:type="dxa"/>
            <w:bottom w:w="0" w:type="dxa"/>
            <w:right w:w="108" w:type="dxa"/>
          </w:tblCellMar>
        </w:tblPrEx>
        <w:trPr>
          <w:trHeight w:val="972" w:hRule="atLeast"/>
        </w:trPr>
        <w:tc>
          <w:tcPr>
            <w:tcW w:w="1408"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pPr>
              <w:widowControl/>
              <w:spacing w:line="360" w:lineRule="exact"/>
              <w:jc w:val="center"/>
              <w:rPr>
                <w:rFonts w:ascii="方正黑体_GBK" w:hAnsi="宋体" w:eastAsia="方正黑体_GBK" w:cs="宋体"/>
                <w:kern w:val="0"/>
                <w:sz w:val="24"/>
              </w:rPr>
            </w:pPr>
            <w:r>
              <w:rPr>
                <w:rFonts w:hint="eastAsia" w:ascii="方正黑体_GBK" w:hAnsi="宋体" w:eastAsia="方正黑体_GBK" w:cs="宋体"/>
                <w:kern w:val="0"/>
                <w:sz w:val="24"/>
              </w:rPr>
              <w:t>基金上解</w:t>
            </w:r>
            <w:r>
              <w:rPr>
                <w:rFonts w:hint="eastAsia" w:ascii="方正黑体_GBK" w:hAnsi="宋体" w:eastAsia="方正黑体_GBK" w:cs="宋体"/>
                <w:kern w:val="0"/>
                <w:sz w:val="24"/>
              </w:rPr>
              <w:br w:type="textWrapping"/>
            </w:r>
            <w:r>
              <w:rPr>
                <w:rFonts w:hint="eastAsia" w:ascii="方正黑体_GBK" w:hAnsi="宋体" w:eastAsia="方正黑体_GBK" w:cs="宋体"/>
                <w:kern w:val="0"/>
                <w:sz w:val="24"/>
              </w:rPr>
              <w:t>情况</w:t>
            </w:r>
            <w:r>
              <w:rPr>
                <w:rFonts w:hint="eastAsia" w:ascii="方正黑体_GBK" w:hAnsi="宋体" w:eastAsia="方正黑体_GBK" w:cs="宋体"/>
                <w:kern w:val="0"/>
                <w:sz w:val="24"/>
              </w:rPr>
              <w:br w:type="textWrapping"/>
            </w:r>
            <w:r>
              <w:rPr>
                <w:rFonts w:hint="eastAsia" w:ascii="方正黑体_GBK" w:hAnsi="宋体" w:eastAsia="方正黑体_GBK" w:cs="宋体"/>
                <w:kern w:val="0"/>
                <w:sz w:val="24"/>
              </w:rPr>
              <w:t>（加分项）</w:t>
            </w:r>
          </w:p>
        </w:tc>
        <w:tc>
          <w:tcPr>
            <w:tcW w:w="1005"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pPr>
              <w:widowControl/>
              <w:spacing w:line="360" w:lineRule="exact"/>
              <w:jc w:val="center"/>
              <w:rPr>
                <w:rFonts w:ascii="方正黑体_GBK" w:hAnsi="宋体" w:eastAsia="方正黑体_GBK" w:cs="宋体"/>
                <w:kern w:val="0"/>
                <w:sz w:val="24"/>
              </w:rPr>
            </w:pPr>
            <w:r>
              <w:rPr>
                <w:rFonts w:hint="eastAsia" w:ascii="方正黑体_GBK" w:hAnsi="宋体" w:eastAsia="方正黑体_GBK" w:cs="宋体"/>
                <w:kern w:val="0"/>
                <w:sz w:val="24"/>
              </w:rPr>
              <w:t>10</w:t>
            </w:r>
          </w:p>
        </w:tc>
        <w:tc>
          <w:tcPr>
            <w:tcW w:w="1273"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color w:val="000000"/>
                <w:kern w:val="0"/>
                <w:sz w:val="24"/>
              </w:rPr>
            </w:pPr>
            <w:r>
              <w:rPr>
                <w:rFonts w:hint="eastAsia" w:ascii="方正黑体_GBK" w:hAnsi="宋体" w:eastAsia="方正黑体_GBK" w:cs="宋体"/>
                <w:color w:val="000000"/>
                <w:kern w:val="0"/>
                <w:sz w:val="24"/>
              </w:rPr>
              <w:t>省级调剂金上解情况</w:t>
            </w:r>
          </w:p>
        </w:tc>
        <w:tc>
          <w:tcPr>
            <w:tcW w:w="850" w:type="dxa"/>
            <w:tcBorders>
              <w:top w:val="nil"/>
              <w:left w:val="nil"/>
              <w:bottom w:val="single" w:color="auto" w:sz="4" w:space="0"/>
              <w:right w:val="single" w:color="auto" w:sz="4" w:space="0"/>
            </w:tcBorders>
            <w:shd w:val="clear" w:color="auto" w:fill="auto"/>
            <w:vAlign w:val="center"/>
          </w:tcPr>
          <w:p>
            <w:pPr>
              <w:widowControl/>
              <w:spacing w:line="360" w:lineRule="exact"/>
              <w:jc w:val="center"/>
              <w:rPr>
                <w:kern w:val="0"/>
                <w:sz w:val="24"/>
              </w:rPr>
            </w:pPr>
            <w:r>
              <w:rPr>
                <w:kern w:val="0"/>
                <w:sz w:val="24"/>
              </w:rPr>
              <w:t>——</w:t>
            </w:r>
          </w:p>
        </w:tc>
        <w:tc>
          <w:tcPr>
            <w:tcW w:w="5300"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仿宋_GBK" w:hAnsi="宋体" w:eastAsia="方正仿宋_GBK" w:cs="宋体"/>
                <w:kern w:val="0"/>
                <w:sz w:val="24"/>
              </w:rPr>
            </w:pPr>
            <w:r>
              <w:rPr>
                <w:rFonts w:hint="eastAsia" w:ascii="方正仿宋_GBK" w:hAnsi="宋体" w:eastAsia="方正仿宋_GBK" w:cs="宋体"/>
                <w:kern w:val="0"/>
                <w:sz w:val="24"/>
              </w:rPr>
              <w:t>按照省规定按时足额上解省级调剂金的，加3分，否则，每晚1天扣0.1分。</w:t>
            </w:r>
          </w:p>
        </w:tc>
      </w:tr>
      <w:tr>
        <w:tblPrEx>
          <w:tblLayout w:type="fixed"/>
          <w:tblCellMar>
            <w:top w:w="0" w:type="dxa"/>
            <w:left w:w="108" w:type="dxa"/>
            <w:bottom w:w="0" w:type="dxa"/>
            <w:right w:w="108" w:type="dxa"/>
          </w:tblCellMar>
        </w:tblPrEx>
        <w:trPr>
          <w:trHeight w:val="1218" w:hRule="atLeast"/>
        </w:trPr>
        <w:tc>
          <w:tcPr>
            <w:tcW w:w="1408" w:type="dxa"/>
            <w:vMerge w:val="continue"/>
            <w:tcBorders>
              <w:top w:val="single" w:color="auto" w:sz="4" w:space="0"/>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1005" w:type="dxa"/>
            <w:vMerge w:val="continue"/>
            <w:tcBorders>
              <w:top w:val="single" w:color="auto" w:sz="4" w:space="0"/>
              <w:left w:val="single" w:color="auto" w:sz="4" w:space="0"/>
              <w:bottom w:val="single" w:color="000000"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kern w:val="0"/>
                <w:sz w:val="24"/>
              </w:rPr>
            </w:pPr>
          </w:p>
        </w:tc>
        <w:tc>
          <w:tcPr>
            <w:tcW w:w="1273"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黑体_GBK" w:hAnsi="宋体" w:eastAsia="方正黑体_GBK" w:cs="宋体"/>
                <w:color w:val="000000"/>
                <w:kern w:val="0"/>
                <w:sz w:val="24"/>
              </w:rPr>
            </w:pPr>
            <w:r>
              <w:rPr>
                <w:rFonts w:hint="eastAsia" w:ascii="方正黑体_GBK" w:hAnsi="宋体" w:eastAsia="方正黑体_GBK" w:cs="宋体"/>
                <w:color w:val="000000"/>
                <w:kern w:val="0"/>
                <w:sz w:val="24"/>
              </w:rPr>
              <w:t>统收统支预调基金上解情况</w:t>
            </w:r>
          </w:p>
        </w:tc>
        <w:tc>
          <w:tcPr>
            <w:tcW w:w="850" w:type="dxa"/>
            <w:tcBorders>
              <w:top w:val="nil"/>
              <w:left w:val="nil"/>
              <w:bottom w:val="single" w:color="auto" w:sz="4" w:space="0"/>
              <w:right w:val="single" w:color="auto" w:sz="4" w:space="0"/>
            </w:tcBorders>
            <w:shd w:val="clear" w:color="auto" w:fill="auto"/>
            <w:vAlign w:val="center"/>
          </w:tcPr>
          <w:p>
            <w:pPr>
              <w:widowControl/>
              <w:spacing w:line="360" w:lineRule="exact"/>
              <w:jc w:val="center"/>
              <w:rPr>
                <w:kern w:val="0"/>
                <w:sz w:val="24"/>
              </w:rPr>
            </w:pPr>
            <w:r>
              <w:rPr>
                <w:kern w:val="0"/>
                <w:sz w:val="24"/>
              </w:rPr>
              <w:t>——</w:t>
            </w:r>
          </w:p>
        </w:tc>
        <w:tc>
          <w:tcPr>
            <w:tcW w:w="5300" w:type="dxa"/>
            <w:tcBorders>
              <w:top w:val="nil"/>
              <w:left w:val="nil"/>
              <w:bottom w:val="single" w:color="auto" w:sz="4" w:space="0"/>
              <w:right w:val="single" w:color="auto" w:sz="4" w:space="0"/>
            </w:tcBorders>
            <w:shd w:val="clear" w:color="auto" w:fill="auto"/>
            <w:vAlign w:val="center"/>
          </w:tcPr>
          <w:p>
            <w:pPr>
              <w:widowControl/>
              <w:spacing w:line="360" w:lineRule="exact"/>
              <w:jc w:val="left"/>
              <w:rPr>
                <w:rFonts w:ascii="方正仿宋_GBK" w:hAnsi="宋体" w:eastAsia="方正仿宋_GBK" w:cs="宋体"/>
                <w:kern w:val="0"/>
                <w:sz w:val="24"/>
              </w:rPr>
            </w:pPr>
            <w:r>
              <w:rPr>
                <w:rFonts w:hint="eastAsia" w:ascii="方正仿宋_GBK" w:hAnsi="宋体" w:eastAsia="方正仿宋_GBK" w:cs="宋体"/>
                <w:kern w:val="0"/>
                <w:sz w:val="24"/>
              </w:rPr>
              <w:t>按照省规定按时足额上解省级统收统支预调基金的，加3分，否则，每晚1天扣0.1分。</w:t>
            </w:r>
          </w:p>
        </w:tc>
      </w:tr>
    </w:tbl>
    <w:p>
      <w:bookmarkStart w:id="0" w:name="_GoBack"/>
      <w:bookmarkEnd w:id="0"/>
    </w:p>
    <w:sectPr>
      <w:footerReference r:id="rId3" w:type="default"/>
      <w:footerReference r:id="rId4" w:type="even"/>
      <w:pgSz w:w="11906" w:h="16838"/>
      <w:pgMar w:top="1814" w:right="1531" w:bottom="1985" w:left="1531" w:header="851" w:footer="992" w:gutter="0"/>
      <w:cols w:space="720" w:num="1"/>
      <w:docGrid w:type="lines" w:linePitch="584" w:charSpace="2167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sz w:val="24"/>
      </w:rPr>
    </w:pPr>
    <w:r>
      <w:rPr>
        <w:sz w:val="24"/>
      </w:rPr>
      <w:t>—</w:t>
    </w:r>
    <w:r>
      <w:rPr>
        <w:sz w:val="24"/>
      </w:rPr>
      <w:fldChar w:fldCharType="begin"/>
    </w:r>
    <w:r>
      <w:rPr>
        <w:sz w:val="24"/>
      </w:rPr>
      <w:instrText xml:space="preserve"> PAGE   \* MERGEFORMAT </w:instrText>
    </w:r>
    <w:r>
      <w:rPr>
        <w:sz w:val="24"/>
      </w:rPr>
      <w:fldChar w:fldCharType="separate"/>
    </w:r>
    <w:r>
      <w:rPr>
        <w:sz w:val="24"/>
        <w:lang w:val="zh-CN"/>
      </w:rPr>
      <w:t>6</w:t>
    </w:r>
    <w:r>
      <w:rPr>
        <w:sz w:val="24"/>
      </w:rPr>
      <w:fldChar w:fldCharType="end"/>
    </w:r>
    <w:r>
      <w:rPr>
        <w:sz w:val="24"/>
      </w:rPr>
      <w:t>—</w:t>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4"/>
      </w:rPr>
    </w:pPr>
    <w:r>
      <w:fldChar w:fldCharType="begin"/>
    </w:r>
    <w:r>
      <w:rPr>
        <w:rStyle w:val="4"/>
      </w:rPr>
      <w:instrText xml:space="preserve">PAGE  </w:instrText>
    </w:r>
    <w:r>
      <w:fldChar w:fldCharType="separate"/>
    </w:r>
    <w:r>
      <w:fldChar w:fldCharType="end"/>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C037EBB"/>
    <w:rsid w:val="70AD3C9B"/>
    <w:rsid w:val="7CA93E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4"/>
      <w:lang w:val="en-US" w:eastAsia="zh-CN" w:bidi="ar-SA"/>
    </w:rPr>
  </w:style>
  <w:style w:type="character" w:default="1" w:styleId="3">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character" w:styleId="4">
    <w:name w:val="page number"/>
    <w:basedOn w:val="3"/>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龚璨</cp:lastModifiedBy>
  <dcterms:modified xsi:type="dcterms:W3CDTF">2020-10-26T06:09:37Z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