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cs="方正小标宋简体"/>
          <w:sz w:val="72"/>
          <w:szCs w:val="72"/>
        </w:rPr>
      </w:pPr>
      <w:bookmarkStart w:id="5" w:name="_GoBack"/>
      <w:bookmarkEnd w:id="5"/>
    </w:p>
    <w:p>
      <w:pPr>
        <w:spacing w:line="560" w:lineRule="exact"/>
        <w:jc w:val="center"/>
        <w:rPr>
          <w:rFonts w:ascii="宋体" w:hAnsi="宋体" w:cs="方正小标宋简体"/>
          <w:sz w:val="72"/>
          <w:szCs w:val="72"/>
        </w:rPr>
      </w:pPr>
    </w:p>
    <w:p>
      <w:pPr>
        <w:spacing w:line="560" w:lineRule="exact"/>
        <w:jc w:val="center"/>
        <w:rPr>
          <w:rFonts w:ascii="宋体" w:hAnsi="宋体" w:cs="方正小标宋简体"/>
          <w:b/>
          <w:bCs/>
          <w:sz w:val="72"/>
          <w:szCs w:val="72"/>
        </w:rPr>
      </w:pPr>
    </w:p>
    <w:p>
      <w:pPr>
        <w:spacing w:line="560" w:lineRule="exact"/>
        <w:jc w:val="center"/>
        <w:rPr>
          <w:rFonts w:ascii="宋体" w:hAnsi="宋体" w:cs="方正小标宋简体"/>
          <w:sz w:val="72"/>
          <w:szCs w:val="72"/>
        </w:rPr>
      </w:pPr>
    </w:p>
    <w:p>
      <w:pPr>
        <w:spacing w:line="560" w:lineRule="exact"/>
        <w:jc w:val="center"/>
        <w:rPr>
          <w:rFonts w:ascii="宋体" w:hAnsi="宋体" w:cs="方正小标宋简体"/>
          <w:b/>
          <w:bCs/>
          <w:sz w:val="72"/>
          <w:szCs w:val="72"/>
        </w:rPr>
      </w:pPr>
    </w:p>
    <w:p>
      <w:pPr>
        <w:jc w:val="center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宋体" w:hAnsi="宋体" w:cs="宋体"/>
          <w:sz w:val="72"/>
          <w:szCs w:val="72"/>
        </w:rPr>
        <w:t>第</w:t>
      </w: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七届江苏技能状元大赛</w:t>
      </w:r>
    </w:p>
    <w:p>
      <w:pPr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宋体" w:hAnsi="宋体" w:eastAsia="黑体"/>
          <w:b/>
          <w:bCs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“物流服务师”赛项</w:t>
      </w:r>
    </w:p>
    <w:p>
      <w:pPr>
        <w:spacing w:line="560" w:lineRule="exact"/>
        <w:jc w:val="center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rPr>
          <w:rFonts w:ascii="宋体" w:hAnsi="宋体" w:cs="方正小标宋简体"/>
          <w:sz w:val="36"/>
          <w:szCs w:val="36"/>
        </w:rPr>
      </w:pPr>
    </w:p>
    <w:p>
      <w:pPr>
        <w:spacing w:line="700" w:lineRule="exact"/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智慧仓规划设计与仿真运营</w:t>
      </w:r>
    </w:p>
    <w:p>
      <w:pPr>
        <w:spacing w:line="700" w:lineRule="exact"/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模块答题模版</w:t>
      </w:r>
    </w:p>
    <w:p>
      <w:pPr>
        <w:spacing w:line="360" w:lineRule="auto"/>
        <w:jc w:val="center"/>
        <w:rPr>
          <w:rFonts w:ascii="宋体" w:hAnsi="宋体"/>
          <w:b/>
          <w:bCs/>
          <w:sz w:val="40"/>
          <w:szCs w:val="40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  <w:u w:val="thick"/>
        </w:rPr>
      </w:pPr>
      <w:r>
        <w:rPr>
          <w:rFonts w:hint="eastAsia" w:ascii="黑体" w:hAnsi="黑体" w:eastAsia="黑体"/>
          <w:sz w:val="32"/>
          <w:szCs w:val="32"/>
        </w:rPr>
        <w:t>工位号：</w:t>
      </w:r>
      <w:r>
        <w:rPr>
          <w:rFonts w:hint="eastAsia" w:ascii="黑体" w:hAnsi="黑体" w:eastAsia="黑体"/>
          <w:sz w:val="32"/>
          <w:szCs w:val="32"/>
          <w:u w:val="thick"/>
        </w:rPr>
        <w:t xml:space="preserve">     </w:t>
      </w: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pStyle w:val="2"/>
        <w:spacing w:after="0" w:line="240" w:lineRule="auto"/>
        <w:jc w:val="center"/>
        <w:rPr>
          <w:rFonts w:ascii="Times New Roman" w:hAnsi="Times New Roman" w:eastAsia="仿宋"/>
          <w:bCs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53736852"/>
    </w:p>
    <w:p>
      <w:pPr>
        <w:pStyle w:val="2"/>
        <w:spacing w:after="0" w:line="240" w:lineRule="auto"/>
        <w:jc w:val="center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bCs w:val="0"/>
          <w:sz w:val="28"/>
          <w:szCs w:val="28"/>
        </w:rPr>
        <w:t>模块A：</w:t>
      </w:r>
      <w:r>
        <w:rPr>
          <w:rFonts w:ascii="Times New Roman" w:hAnsi="Times New Roman" w:eastAsia="仿宋"/>
          <w:sz w:val="28"/>
          <w:szCs w:val="28"/>
        </w:rPr>
        <w:t>智慧仓作业规划与设计</w:t>
      </w:r>
    </w:p>
    <w:p>
      <w:pPr>
        <w:rPr>
          <w:rFonts w:ascii="Times New Roman" w:hAnsi="Times New Roman"/>
          <w:b/>
          <w:bCs/>
          <w:color w:val="252525" w:themeColor="text1" w:themeTint="D9"/>
        </w:rPr>
      </w:pPr>
      <w:r>
        <w:rPr>
          <w:rFonts w:hint="eastAsia"/>
        </w:rPr>
        <w:t xml:space="preserve">                  </w:t>
      </w: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  <w:color w:val="252525" w:themeColor="text1" w:themeTint="D9"/>
        </w:rPr>
        <w:t xml:space="preserve"> </w:t>
      </w:r>
      <w:r>
        <w:rPr>
          <w:rFonts w:ascii="Times New Roman" w:hAnsi="Times New Roman"/>
          <w:b/>
          <w:bCs/>
          <w:color w:val="252525" w:themeColor="text1" w:themeTint="D9"/>
        </w:rPr>
        <w:t>（模块A 总分占比</w:t>
      </w:r>
      <w:r>
        <w:rPr>
          <w:rFonts w:hint="eastAsia" w:ascii="Times New Roman" w:hAnsi="Times New Roman"/>
          <w:b/>
          <w:bCs/>
          <w:color w:val="252525" w:themeColor="text1" w:themeTint="D9"/>
        </w:rPr>
        <w:t>4</w:t>
      </w:r>
      <w:r>
        <w:rPr>
          <w:rFonts w:ascii="Times New Roman" w:hAnsi="Times New Roman"/>
          <w:b/>
          <w:bCs/>
          <w:color w:val="252525" w:themeColor="text1" w:themeTint="D9"/>
        </w:rPr>
        <w:t>0%）</w:t>
      </w:r>
    </w:p>
    <w:p>
      <w:pPr>
        <w:rPr>
          <w:rFonts w:ascii="Times New Roman" w:hAnsi="Times New Roman"/>
          <w:b/>
          <w:bCs/>
          <w:color w:val="252525" w:themeColor="text1" w:themeTint="D9"/>
        </w:rPr>
      </w:pPr>
    </w:p>
    <w:p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（根据题意需写出分析和计算过程！）</w:t>
      </w:r>
    </w:p>
    <w:p>
      <w:pPr>
        <w:pStyle w:val="2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一、需求分析</w:t>
      </w:r>
    </w:p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（一）商品特征分析</w:t>
      </w:r>
    </w:p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1.</w:t>
      </w:r>
      <w:r>
        <w:rPr>
          <w:rFonts w:hint="eastAsia" w:ascii="仿宋" w:hAnsi="仿宋" w:eastAsia="仿宋" w:cs="仿宋"/>
          <w:bCs w:val="0"/>
          <w:sz w:val="24"/>
          <w:szCs w:val="24"/>
        </w:rPr>
        <w:t>商品存储单位、包装形态分析</w:t>
      </w:r>
      <w:bookmarkEnd w:id="0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5"/>
        <w:gridCol w:w="5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  <w:jc w:val="center"/>
        </w:trPr>
        <w:tc>
          <w:tcPr>
            <w:tcW w:w="8340" w:type="dxa"/>
            <w:gridSpan w:val="2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商品存储单位及包装形态分析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存储单位</w:t>
            </w:r>
          </w:p>
        </w:tc>
        <w:tc>
          <w:tcPr>
            <w:tcW w:w="54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包装形态</w:t>
            </w:r>
          </w:p>
        </w:tc>
        <w:tc>
          <w:tcPr>
            <w:tcW w:w="54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bookmarkStart w:id="1" w:name="_Toc53736854"/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2.</w:t>
      </w:r>
      <w:r>
        <w:rPr>
          <w:rFonts w:hint="eastAsia" w:ascii="仿宋" w:hAnsi="仿宋" w:eastAsia="仿宋" w:cs="仿宋"/>
          <w:bCs w:val="0"/>
          <w:sz w:val="24"/>
          <w:szCs w:val="24"/>
        </w:rPr>
        <w:t>商品体积、重量基本情况分析</w:t>
      </w:r>
      <w:bookmarkEnd w:id="1"/>
      <w:r>
        <w:rPr>
          <w:rFonts w:hint="eastAsia" w:ascii="仿宋" w:hAnsi="仿宋" w:eastAsia="仿宋" w:cs="仿宋"/>
          <w:b w:val="0"/>
          <w:sz w:val="21"/>
          <w:szCs w:val="21"/>
        </w:rPr>
        <w:t>（结果保留两位小数）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2844"/>
        <w:gridCol w:w="2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34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商品体积、重量基本情况分析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86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体积（</w:t>
            </w:r>
            <w:r>
              <w:rPr>
                <w:rFonts w:hint="eastAsia"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2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重量（kg）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86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最小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86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最大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86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平均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bookmarkStart w:id="2" w:name="_Toc53736855"/>
      <w:r>
        <w:rPr>
          <w:rFonts w:hint="eastAsia" w:ascii="仿宋" w:hAnsi="仿宋" w:eastAsia="仿宋" w:cs="仿宋"/>
          <w:bCs w:val="0"/>
          <w:sz w:val="24"/>
          <w:szCs w:val="24"/>
        </w:rPr>
        <w:t>（二）订单</w:t>
      </w:r>
      <w:r>
        <w:rPr>
          <w:rFonts w:ascii="Times New Roman" w:hAnsi="Times New Roman" w:eastAsia="仿宋" w:cs="Times New Roman"/>
          <w:bCs w:val="0"/>
          <w:sz w:val="24"/>
          <w:szCs w:val="24"/>
        </w:rPr>
        <w:t>EIQ</w:t>
      </w:r>
      <w:r>
        <w:rPr>
          <w:rFonts w:hint="eastAsia" w:ascii="仿宋" w:hAnsi="仿宋" w:eastAsia="仿宋" w:cs="仿宋"/>
          <w:bCs w:val="0"/>
          <w:sz w:val="24"/>
          <w:szCs w:val="24"/>
        </w:rPr>
        <w:t>分析</w:t>
      </w:r>
    </w:p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1.</w:t>
      </w:r>
      <w:r>
        <w:rPr>
          <w:rFonts w:hint="eastAsia" w:ascii="仿宋" w:hAnsi="仿宋" w:eastAsia="仿宋" w:cs="仿宋"/>
          <w:bCs w:val="0"/>
          <w:sz w:val="24"/>
          <w:szCs w:val="24"/>
        </w:rPr>
        <w:t>“每日的订单数（</w:t>
      </w:r>
      <w:r>
        <w:rPr>
          <w:rFonts w:ascii="Times New Roman" w:hAnsi="Times New Roman" w:eastAsia="仿宋" w:cs="Times New Roman"/>
          <w:bCs w:val="0"/>
          <w:sz w:val="24"/>
          <w:szCs w:val="24"/>
        </w:rPr>
        <w:t>E</w:t>
      </w:r>
      <w:r>
        <w:rPr>
          <w:rFonts w:hint="eastAsia" w:ascii="仿宋" w:hAnsi="仿宋" w:eastAsia="仿宋" w:cs="仿宋"/>
          <w:bCs w:val="0"/>
          <w:sz w:val="24"/>
          <w:szCs w:val="24"/>
        </w:rPr>
        <w:t>）”折线图</w:t>
      </w:r>
    </w:p>
    <w:tbl>
      <w:tblPr>
        <w:tblStyle w:val="13"/>
        <w:tblW w:w="8480" w:type="dxa"/>
        <w:jc w:val="center"/>
        <w:tblBorders>
          <w:top w:val="single" w:color="4F81BD" w:themeColor="accent1" w:sz="12" w:space="0"/>
          <w:left w:val="single" w:color="4F81BD" w:themeColor="accent1" w:sz="12" w:space="0"/>
          <w:bottom w:val="single" w:color="4F81BD" w:themeColor="accent1" w:sz="12" w:space="0"/>
          <w:right w:val="single" w:color="4F81BD" w:themeColor="accent1" w:sz="12" w:space="0"/>
          <w:insideH w:val="single" w:color="4F81BD" w:themeColor="accent1" w:sz="12" w:space="0"/>
          <w:insideV w:val="single" w:color="4F81BD" w:themeColor="accen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>
        <w:tblPrEx>
          <w:tblBorders>
            <w:top w:val="single" w:color="4F81BD" w:themeColor="accent1" w:sz="12" w:space="0"/>
            <w:left w:val="single" w:color="4F81BD" w:themeColor="accent1" w:sz="12" w:space="0"/>
            <w:bottom w:val="single" w:color="4F81BD" w:themeColor="accent1" w:sz="12" w:space="0"/>
            <w:right w:val="single" w:color="4F81BD" w:themeColor="accent1" w:sz="12" w:space="0"/>
            <w:insideH w:val="single" w:color="4F81BD" w:themeColor="accent1" w:sz="12" w:space="0"/>
            <w:insideV w:val="single" w:color="4F81BD" w:themeColor="accen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  <w:jc w:val="center"/>
        </w:trPr>
        <w:tc>
          <w:tcPr>
            <w:tcW w:w="8480" w:type="dxa"/>
          </w:tcPr>
          <w:p>
            <w:pPr>
              <w:rPr>
                <w:rFonts w:ascii="思源黑体 CN Normal" w:hAnsi="思源黑体 CN Normal" w:eastAsia="思源黑体 CN Normal"/>
                <w:b/>
                <w:bCs/>
                <w:color w:val="3F3F3F" w:themeColor="text1" w:themeTint="BF"/>
                <w:u w:val="single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2.</w:t>
      </w:r>
      <w:r>
        <w:rPr>
          <w:rFonts w:hint="eastAsia" w:ascii="仿宋" w:hAnsi="仿宋" w:eastAsia="仿宋" w:cs="仿宋"/>
          <w:bCs w:val="0"/>
          <w:sz w:val="24"/>
          <w:szCs w:val="24"/>
        </w:rPr>
        <w:t>“每日的商品量（</w:t>
      </w: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N</w:t>
      </w:r>
      <w:r>
        <w:rPr>
          <w:rFonts w:hint="eastAsia" w:ascii="仿宋" w:hAnsi="仿宋" w:eastAsia="仿宋" w:cs="仿宋"/>
          <w:bCs w:val="0"/>
          <w:sz w:val="24"/>
          <w:szCs w:val="24"/>
        </w:rPr>
        <w:t>）（箱）”面积图</w:t>
      </w:r>
    </w:p>
    <w:tbl>
      <w:tblPr>
        <w:tblStyle w:val="13"/>
        <w:tblW w:w="8480" w:type="dxa"/>
        <w:jc w:val="center"/>
        <w:tblBorders>
          <w:top w:val="single" w:color="4F81BD" w:themeColor="accent1" w:sz="12" w:space="0"/>
          <w:left w:val="single" w:color="4F81BD" w:themeColor="accent1" w:sz="12" w:space="0"/>
          <w:bottom w:val="single" w:color="4F81BD" w:themeColor="accent1" w:sz="12" w:space="0"/>
          <w:right w:val="single" w:color="4F81BD" w:themeColor="accent1" w:sz="12" w:space="0"/>
          <w:insideH w:val="single" w:color="4F81BD" w:themeColor="accent1" w:sz="12" w:space="0"/>
          <w:insideV w:val="single" w:color="4F81BD" w:themeColor="accen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>
        <w:tblPrEx>
          <w:tblBorders>
            <w:top w:val="single" w:color="4F81BD" w:themeColor="accent1" w:sz="12" w:space="0"/>
            <w:left w:val="single" w:color="4F81BD" w:themeColor="accent1" w:sz="12" w:space="0"/>
            <w:bottom w:val="single" w:color="4F81BD" w:themeColor="accent1" w:sz="12" w:space="0"/>
            <w:right w:val="single" w:color="4F81BD" w:themeColor="accent1" w:sz="12" w:space="0"/>
            <w:insideH w:val="single" w:color="4F81BD" w:themeColor="accent1" w:sz="12" w:space="0"/>
            <w:insideV w:val="single" w:color="4F81BD" w:themeColor="accen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  <w:jc w:val="center"/>
        </w:trPr>
        <w:tc>
          <w:tcPr>
            <w:tcW w:w="8480" w:type="dxa"/>
          </w:tcPr>
          <w:p>
            <w:pPr>
              <w:rPr>
                <w:rFonts w:ascii="思源黑体 CN Normal" w:hAnsi="思源黑体 CN Normal" w:eastAsia="思源黑体 CN Normal"/>
                <w:b/>
                <w:bCs/>
                <w:color w:val="3F3F3F" w:themeColor="text1" w:themeTint="BF"/>
                <w:u w:val="single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3.</w:t>
      </w:r>
      <w:r>
        <w:rPr>
          <w:rFonts w:hint="eastAsia" w:ascii="仿宋" w:hAnsi="仿宋" w:eastAsia="仿宋" w:cs="仿宋"/>
          <w:bCs w:val="0"/>
          <w:sz w:val="24"/>
          <w:szCs w:val="24"/>
        </w:rPr>
        <w:t>“各商品的订货数量</w:t>
      </w:r>
      <w:r>
        <w:rPr>
          <w:rFonts w:ascii="Times New Roman" w:hAnsi="Times New Roman" w:eastAsia="仿宋" w:cs="Times New Roman"/>
          <w:bCs w:val="0"/>
          <w:sz w:val="24"/>
          <w:szCs w:val="24"/>
        </w:rPr>
        <w:t>（IQ）</w:t>
      </w:r>
      <w:r>
        <w:rPr>
          <w:rFonts w:hint="eastAsia" w:ascii="仿宋" w:hAnsi="仿宋" w:eastAsia="仿宋" w:cs="仿宋"/>
          <w:bCs w:val="0"/>
          <w:sz w:val="24"/>
          <w:szCs w:val="24"/>
        </w:rPr>
        <w:t>（箱）”柱状图</w:t>
      </w:r>
    </w:p>
    <w:tbl>
      <w:tblPr>
        <w:tblStyle w:val="13"/>
        <w:tblW w:w="8480" w:type="dxa"/>
        <w:jc w:val="center"/>
        <w:tblBorders>
          <w:top w:val="single" w:color="4F81BD" w:themeColor="accent1" w:sz="12" w:space="0"/>
          <w:left w:val="single" w:color="4F81BD" w:themeColor="accent1" w:sz="12" w:space="0"/>
          <w:bottom w:val="single" w:color="4F81BD" w:themeColor="accent1" w:sz="12" w:space="0"/>
          <w:right w:val="single" w:color="4F81BD" w:themeColor="accent1" w:sz="12" w:space="0"/>
          <w:insideH w:val="single" w:color="4F81BD" w:themeColor="accent1" w:sz="12" w:space="0"/>
          <w:insideV w:val="single" w:color="4F81BD" w:themeColor="accen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>
        <w:tblPrEx>
          <w:tblBorders>
            <w:top w:val="single" w:color="4F81BD" w:themeColor="accent1" w:sz="12" w:space="0"/>
            <w:left w:val="single" w:color="4F81BD" w:themeColor="accent1" w:sz="12" w:space="0"/>
            <w:bottom w:val="single" w:color="4F81BD" w:themeColor="accent1" w:sz="12" w:space="0"/>
            <w:right w:val="single" w:color="4F81BD" w:themeColor="accent1" w:sz="12" w:space="0"/>
            <w:insideH w:val="single" w:color="4F81BD" w:themeColor="accent1" w:sz="12" w:space="0"/>
            <w:insideV w:val="single" w:color="4F81BD" w:themeColor="accen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  <w:jc w:val="center"/>
        </w:trPr>
        <w:tc>
          <w:tcPr>
            <w:tcW w:w="8480" w:type="dxa"/>
          </w:tcPr>
          <w:p>
            <w:pPr>
              <w:rPr>
                <w:rFonts w:ascii="思源黑体 CN Normal" w:hAnsi="思源黑体 CN Normal" w:eastAsia="思源黑体 CN Normal"/>
                <w:b/>
                <w:bCs/>
                <w:color w:val="3F3F3F" w:themeColor="text1" w:themeTint="BF"/>
                <w:u w:val="single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4.</w:t>
      </w:r>
      <w:r>
        <w:rPr>
          <w:rFonts w:hint="eastAsia" w:ascii="仿宋" w:hAnsi="仿宋" w:eastAsia="仿宋" w:cs="仿宋"/>
          <w:bCs w:val="0"/>
          <w:sz w:val="24"/>
          <w:szCs w:val="24"/>
        </w:rPr>
        <w:t>“各商品的订货次数分析（</w:t>
      </w:r>
      <w:r>
        <w:rPr>
          <w:rFonts w:ascii="Times New Roman" w:hAnsi="Times New Roman" w:eastAsia="仿宋" w:cs="Times New Roman"/>
          <w:bCs w:val="0"/>
          <w:sz w:val="24"/>
          <w:szCs w:val="24"/>
        </w:rPr>
        <w:t>IK</w:t>
      </w:r>
      <w:r>
        <w:rPr>
          <w:rFonts w:hint="eastAsia" w:ascii="仿宋" w:hAnsi="仿宋" w:eastAsia="仿宋" w:cs="仿宋"/>
          <w:bCs w:val="0"/>
          <w:sz w:val="24"/>
          <w:szCs w:val="24"/>
        </w:rPr>
        <w:t>）”柱状图</w:t>
      </w:r>
    </w:p>
    <w:tbl>
      <w:tblPr>
        <w:tblStyle w:val="13"/>
        <w:tblW w:w="8501" w:type="dxa"/>
        <w:jc w:val="center"/>
        <w:tblBorders>
          <w:top w:val="single" w:color="4F81BD" w:themeColor="accent1" w:sz="12" w:space="0"/>
          <w:left w:val="single" w:color="4F81BD" w:themeColor="accent1" w:sz="12" w:space="0"/>
          <w:bottom w:val="single" w:color="4F81BD" w:themeColor="accent1" w:sz="12" w:space="0"/>
          <w:right w:val="single" w:color="4F81BD" w:themeColor="accent1" w:sz="12" w:space="0"/>
          <w:insideH w:val="single" w:color="4F81BD" w:themeColor="accent1" w:sz="12" w:space="0"/>
          <w:insideV w:val="single" w:color="4F81BD" w:themeColor="accen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1"/>
      </w:tblGrid>
      <w:tr>
        <w:tblPrEx>
          <w:tblBorders>
            <w:top w:val="single" w:color="4F81BD" w:themeColor="accent1" w:sz="12" w:space="0"/>
            <w:left w:val="single" w:color="4F81BD" w:themeColor="accent1" w:sz="12" w:space="0"/>
            <w:bottom w:val="single" w:color="4F81BD" w:themeColor="accent1" w:sz="12" w:space="0"/>
            <w:right w:val="single" w:color="4F81BD" w:themeColor="accent1" w:sz="12" w:space="0"/>
            <w:insideH w:val="single" w:color="4F81BD" w:themeColor="accent1" w:sz="12" w:space="0"/>
            <w:insideV w:val="single" w:color="4F81BD" w:themeColor="accen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  <w:jc w:val="center"/>
        </w:trPr>
        <w:tc>
          <w:tcPr>
            <w:tcW w:w="8501" w:type="dxa"/>
          </w:tcPr>
          <w:p>
            <w:pPr>
              <w:rPr>
                <w:rFonts w:ascii="思源黑体 CN Normal" w:hAnsi="思源黑体 CN Normal" w:eastAsia="思源黑体 CN Normal"/>
                <w:b/>
                <w:bCs/>
                <w:color w:val="3F3F3F" w:themeColor="text1" w:themeTint="BF"/>
                <w:u w:val="single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5. 2023年</w:t>
      </w:r>
      <w:r>
        <w:rPr>
          <w:rFonts w:hint="eastAsia" w:ascii="仿宋" w:hAnsi="仿宋" w:eastAsia="仿宋" w:cs="仿宋"/>
          <w:bCs w:val="0"/>
          <w:sz w:val="24"/>
          <w:szCs w:val="24"/>
        </w:rPr>
        <w:t>全部商品订货次数分析表</w:t>
      </w:r>
      <w:r>
        <w:rPr>
          <w:rFonts w:hint="eastAsia" w:ascii="仿宋" w:hAnsi="仿宋" w:eastAsia="仿宋" w:cs="仿宋"/>
          <w:b w:val="0"/>
          <w:sz w:val="21"/>
          <w:szCs w:val="21"/>
        </w:rPr>
        <w:t>（结果保留两位小数）</w:t>
      </w:r>
    </w:p>
    <w:tbl>
      <w:tblPr>
        <w:tblStyle w:val="13"/>
        <w:tblW w:w="8676" w:type="dxa"/>
        <w:tblInd w:w="-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2143"/>
        <w:gridCol w:w="2239"/>
        <w:gridCol w:w="2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9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24"/>
                <w:szCs w:val="24"/>
              </w:rPr>
              <w:t>订货次数的最大值</w:t>
            </w:r>
          </w:p>
        </w:tc>
        <w:tc>
          <w:tcPr>
            <w:tcW w:w="2143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24"/>
                <w:szCs w:val="24"/>
              </w:rPr>
              <w:t>订货次数的最小值</w:t>
            </w:r>
          </w:p>
        </w:tc>
        <w:tc>
          <w:tcPr>
            <w:tcW w:w="2239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24"/>
                <w:szCs w:val="24"/>
              </w:rPr>
              <w:t>订货次数的平均值</w:t>
            </w:r>
          </w:p>
        </w:tc>
        <w:tc>
          <w:tcPr>
            <w:tcW w:w="2155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cs="仿宋" w:eastAsiaTheme="minorEastAsia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24"/>
                <w:szCs w:val="24"/>
              </w:rPr>
              <w:t>订货次数的标准差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39" w:type="dxa"/>
          </w:tcPr>
          <w:p>
            <w:pPr>
              <w:pStyle w:val="3"/>
              <w:spacing w:before="0" w:after="0" w:line="240" w:lineRule="auto"/>
              <w:rPr>
                <w:rFonts w:ascii="Times New Roman" w:hAnsi="Times New Roman" w:eastAsia="仿宋" w:cs="Times New Roman"/>
                <w:bCs w:val="0"/>
                <w:sz w:val="24"/>
                <w:szCs w:val="24"/>
              </w:rPr>
            </w:pPr>
          </w:p>
        </w:tc>
        <w:tc>
          <w:tcPr>
            <w:tcW w:w="2143" w:type="dxa"/>
          </w:tcPr>
          <w:p>
            <w:pPr>
              <w:pStyle w:val="3"/>
              <w:spacing w:before="0" w:after="0" w:line="240" w:lineRule="auto"/>
              <w:rPr>
                <w:rFonts w:ascii="Times New Roman" w:hAnsi="Times New Roman" w:eastAsia="仿宋" w:cs="Times New Roman"/>
                <w:bCs w:val="0"/>
                <w:sz w:val="24"/>
                <w:szCs w:val="24"/>
              </w:rPr>
            </w:pPr>
          </w:p>
        </w:tc>
        <w:tc>
          <w:tcPr>
            <w:tcW w:w="2239" w:type="dxa"/>
          </w:tcPr>
          <w:p>
            <w:pPr>
              <w:pStyle w:val="3"/>
              <w:spacing w:before="0" w:after="0" w:line="240" w:lineRule="auto"/>
              <w:rPr>
                <w:rFonts w:ascii="Times New Roman" w:hAnsi="Times New Roman" w:eastAsia="仿宋" w:cs="Times New Roman"/>
                <w:bCs w:val="0"/>
                <w:sz w:val="24"/>
                <w:szCs w:val="24"/>
              </w:rPr>
            </w:pPr>
          </w:p>
        </w:tc>
        <w:tc>
          <w:tcPr>
            <w:tcW w:w="2155" w:type="dxa"/>
          </w:tcPr>
          <w:p>
            <w:pPr>
              <w:pStyle w:val="3"/>
              <w:spacing w:before="0" w:after="0" w:line="240" w:lineRule="auto"/>
              <w:rPr>
                <w:rFonts w:ascii="Times New Roman" w:hAnsi="Times New Roman" w:eastAsia="仿宋" w:cs="Times New Roman"/>
                <w:bCs w:val="0"/>
                <w:sz w:val="24"/>
                <w:szCs w:val="24"/>
              </w:rPr>
            </w:pPr>
          </w:p>
        </w:tc>
      </w:tr>
    </w:tbl>
    <w:p/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（三）需求波动分析</w:t>
      </w:r>
    </w:p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1.</w:t>
      </w:r>
      <w:r>
        <w:rPr>
          <w:rFonts w:hint="eastAsia" w:ascii="仿宋" w:hAnsi="仿宋" w:eastAsia="仿宋" w:cs="仿宋"/>
          <w:bCs w:val="0"/>
          <w:sz w:val="24"/>
          <w:szCs w:val="24"/>
        </w:rPr>
        <w:t>“各商品分类的需求量（箱）”环形图</w:t>
      </w:r>
    </w:p>
    <w:tbl>
      <w:tblPr>
        <w:tblStyle w:val="13"/>
        <w:tblW w:w="8501" w:type="dxa"/>
        <w:jc w:val="center"/>
        <w:tblBorders>
          <w:top w:val="single" w:color="4F81BD" w:themeColor="accent1" w:sz="12" w:space="0"/>
          <w:left w:val="single" w:color="4F81BD" w:themeColor="accent1" w:sz="12" w:space="0"/>
          <w:bottom w:val="single" w:color="4F81BD" w:themeColor="accent1" w:sz="12" w:space="0"/>
          <w:right w:val="single" w:color="4F81BD" w:themeColor="accent1" w:sz="12" w:space="0"/>
          <w:insideH w:val="single" w:color="4F81BD" w:themeColor="accent1" w:sz="12" w:space="0"/>
          <w:insideV w:val="single" w:color="4F81BD" w:themeColor="accen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1"/>
      </w:tblGrid>
      <w:tr>
        <w:tblPrEx>
          <w:tblBorders>
            <w:top w:val="single" w:color="4F81BD" w:themeColor="accent1" w:sz="12" w:space="0"/>
            <w:left w:val="single" w:color="4F81BD" w:themeColor="accent1" w:sz="12" w:space="0"/>
            <w:bottom w:val="single" w:color="4F81BD" w:themeColor="accent1" w:sz="12" w:space="0"/>
            <w:right w:val="single" w:color="4F81BD" w:themeColor="accent1" w:sz="12" w:space="0"/>
            <w:insideH w:val="single" w:color="4F81BD" w:themeColor="accent1" w:sz="12" w:space="0"/>
            <w:insideV w:val="single" w:color="4F81BD" w:themeColor="accen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  <w:jc w:val="center"/>
        </w:trPr>
        <w:tc>
          <w:tcPr>
            <w:tcW w:w="8501" w:type="dxa"/>
          </w:tcPr>
          <w:p>
            <w:pPr>
              <w:rPr>
                <w:rFonts w:ascii="思源黑体 CN Normal" w:hAnsi="思源黑体 CN Normal" w:eastAsia="思源黑体 CN Normal"/>
                <w:b/>
                <w:bCs/>
                <w:color w:val="3F3F3F" w:themeColor="text1" w:themeTint="BF"/>
                <w:u w:val="single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ascii="Times New Roman" w:hAnsi="Times New Roman" w:eastAsia="仿宋" w:cs="Times New Roman"/>
          <w:bCs w:val="0"/>
          <w:sz w:val="24"/>
          <w:szCs w:val="24"/>
        </w:rPr>
        <w:t>2.</w:t>
      </w:r>
      <w:r>
        <w:rPr>
          <w:rFonts w:hint="eastAsia" w:ascii="仿宋" w:hAnsi="仿宋" w:eastAsia="仿宋" w:cs="仿宋"/>
          <w:bCs w:val="0"/>
          <w:sz w:val="24"/>
          <w:szCs w:val="24"/>
        </w:rPr>
        <w:t>“各商品的月度需求波动系数”前三名</w:t>
      </w:r>
      <w:r>
        <w:rPr>
          <w:rFonts w:hint="eastAsia" w:ascii="仿宋" w:hAnsi="仿宋" w:eastAsia="仿宋" w:cs="仿宋"/>
          <w:b w:val="0"/>
          <w:sz w:val="21"/>
          <w:szCs w:val="21"/>
        </w:rPr>
        <w:t>（结果保留两位小数）</w:t>
      </w:r>
    </w:p>
    <w:tbl>
      <w:tblPr>
        <w:tblStyle w:val="13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2846"/>
        <w:gridCol w:w="2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846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排名</w:t>
            </w:r>
          </w:p>
        </w:tc>
        <w:tc>
          <w:tcPr>
            <w:tcW w:w="2846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商品名称</w:t>
            </w:r>
          </w:p>
        </w:tc>
        <w:tc>
          <w:tcPr>
            <w:tcW w:w="2846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需求波动系数</w:t>
            </w: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（变异系数）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46" w:type="dxa"/>
            <w:vAlign w:val="center"/>
          </w:tcPr>
          <w:p>
            <w:pPr>
              <w:jc w:val="center"/>
            </w:pPr>
          </w:p>
        </w:tc>
        <w:tc>
          <w:tcPr>
            <w:tcW w:w="28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46" w:type="dxa"/>
            <w:vAlign w:val="center"/>
          </w:tcPr>
          <w:p>
            <w:pPr>
              <w:jc w:val="center"/>
            </w:pPr>
          </w:p>
        </w:tc>
        <w:tc>
          <w:tcPr>
            <w:tcW w:w="28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46" w:type="dxa"/>
            <w:vAlign w:val="center"/>
          </w:tcPr>
          <w:p>
            <w:pPr>
              <w:jc w:val="center"/>
            </w:pPr>
          </w:p>
        </w:tc>
        <w:tc>
          <w:tcPr>
            <w:tcW w:w="2846" w:type="dxa"/>
            <w:vAlign w:val="center"/>
          </w:tcPr>
          <w:p>
            <w:pPr>
              <w:jc w:val="center"/>
            </w:pPr>
          </w:p>
        </w:tc>
      </w:tr>
    </w:tbl>
    <w:p>
      <w:pPr>
        <w:pStyle w:val="3"/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（四）库存周转率分析</w:t>
      </w:r>
      <w:r>
        <w:rPr>
          <w:rFonts w:hint="eastAsia" w:ascii="仿宋" w:hAnsi="仿宋" w:eastAsia="仿宋" w:cs="仿宋"/>
          <w:b w:val="0"/>
          <w:sz w:val="21"/>
          <w:szCs w:val="21"/>
        </w:rPr>
        <w:t>（结果保留两位小数）</w:t>
      </w:r>
    </w:p>
    <w:bookmarkEnd w:id="2"/>
    <w:tbl>
      <w:tblPr>
        <w:tblStyle w:val="13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7"/>
        <w:gridCol w:w="4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520" w:type="dxa"/>
            <w:gridSpan w:val="2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库存周转率</w:t>
            </w:r>
            <w:r>
              <w:rPr>
                <w:rFonts w:ascii="Times New Roman" w:hAnsi="Times New Roman"/>
                <w:sz w:val="24"/>
              </w:rPr>
              <w:t>分析</w:t>
            </w:r>
            <w:r>
              <w:rPr>
                <w:rFonts w:hint="eastAsia" w:ascii="Times New Roman" w:hAnsi="Times New Roman"/>
                <w:sz w:val="24"/>
              </w:rPr>
              <w:t>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10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日均出库数量（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44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10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日均订单数（单）</w:t>
            </w:r>
          </w:p>
        </w:tc>
        <w:tc>
          <w:tcPr>
            <w:tcW w:w="44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10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平均库存量（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44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10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库存</w:t>
            </w:r>
            <w:r>
              <w:rPr>
                <w:rFonts w:ascii="Times New Roman" w:hAnsi="Times New Roman"/>
                <w:sz w:val="24"/>
              </w:rPr>
              <w:t>周转次数（次）</w:t>
            </w:r>
          </w:p>
        </w:tc>
        <w:tc>
          <w:tcPr>
            <w:tcW w:w="44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10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库存</w:t>
            </w:r>
            <w:r>
              <w:rPr>
                <w:rFonts w:ascii="Times New Roman" w:hAnsi="Times New Roman"/>
                <w:sz w:val="24"/>
              </w:rPr>
              <w:t>周转天数（天）</w:t>
            </w:r>
          </w:p>
        </w:tc>
        <w:tc>
          <w:tcPr>
            <w:tcW w:w="44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pStyle w:val="2"/>
        <w:spacing w:line="360" w:lineRule="auto"/>
        <w:rPr>
          <w:rFonts w:ascii="仿宋" w:hAnsi="仿宋" w:eastAsia="仿宋" w:cs="仿宋"/>
          <w:bCs w:val="0"/>
          <w:sz w:val="24"/>
          <w:szCs w:val="24"/>
        </w:rPr>
      </w:pPr>
      <w:bookmarkStart w:id="3" w:name="_Toc53736857"/>
      <w:r>
        <w:rPr>
          <w:rFonts w:hint="eastAsia" w:ascii="仿宋" w:hAnsi="仿宋" w:eastAsia="仿宋" w:cs="仿宋"/>
          <w:bCs w:val="0"/>
          <w:sz w:val="24"/>
          <w:szCs w:val="24"/>
        </w:rPr>
        <w:t>二、智慧仓设备配置</w:t>
      </w:r>
    </w:p>
    <w:bookmarkEnd w:id="3"/>
    <w:p>
      <w:pPr>
        <w:pStyle w:val="3"/>
        <w:spacing w:line="240" w:lineRule="auto"/>
        <w:rPr>
          <w:rFonts w:ascii="黑体" w:hAnsi="黑体" w:eastAsia="黑体"/>
          <w:b w:val="0"/>
          <w:color w:val="000000" w:themeColor="text1"/>
          <w:sz w:val="28"/>
          <w:szCs w:val="28"/>
        </w:rPr>
      </w:pPr>
      <w:bookmarkStart w:id="4" w:name="_Toc53736858"/>
      <w:r>
        <w:rPr>
          <w:rFonts w:hint="eastAsia" w:ascii="仿宋" w:hAnsi="仿宋" w:eastAsia="仿宋" w:cs="仿宋"/>
          <w:bCs w:val="0"/>
          <w:sz w:val="24"/>
          <w:szCs w:val="24"/>
        </w:rPr>
        <w:t>（一）</w:t>
      </w:r>
      <w:r>
        <w:rPr>
          <w:rFonts w:hint="eastAsia" w:ascii="楷体" w:hAnsi="楷体" w:eastAsia="楷体" w:cs="楷体"/>
          <w:bCs w:val="0"/>
          <w:sz w:val="24"/>
          <w:szCs w:val="24"/>
        </w:rPr>
        <w:t>货架数量</w:t>
      </w:r>
      <w:bookmarkEnd w:id="4"/>
    </w:p>
    <w:tbl>
      <w:tblPr>
        <w:tblStyle w:val="13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7"/>
        <w:gridCol w:w="3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520" w:type="dxa"/>
            <w:gridSpan w:val="2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货架数量分析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16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货格体积（</w:t>
            </w:r>
            <w:r>
              <w:rPr>
                <w:rFonts w:hint="eastAsia"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16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货格有效利用的空间（</w:t>
            </w:r>
            <w:r>
              <w:rPr>
                <w:rFonts w:hint="eastAsia"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516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剔除体积较大商品后的商品平均体积（</w:t>
            </w:r>
            <w:r>
              <w:rPr>
                <w:rFonts w:hint="eastAsia"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（结果保留两位小数）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16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货架实际容积（</w:t>
            </w:r>
            <w:r>
              <w:rPr>
                <w:rFonts w:hint="eastAsia"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516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货架存储商品数量（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（结果向下取整）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16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所需货架数量（个）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（结果向上取整）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p>
      <w:pPr>
        <w:pStyle w:val="3"/>
        <w:spacing w:line="240" w:lineRule="auto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（二）工作站</w:t>
      </w:r>
      <w:r>
        <w:rPr>
          <w:rFonts w:hint="eastAsia" w:ascii="楷体" w:hAnsi="楷体" w:eastAsia="楷体" w:cs="楷体"/>
          <w:bCs w:val="0"/>
          <w:sz w:val="24"/>
          <w:szCs w:val="24"/>
        </w:rPr>
        <w:t>数量</w:t>
      </w:r>
    </w:p>
    <w:p>
      <w:pPr>
        <w:spacing w:after="156" w:afterLines="50"/>
        <w:rPr>
          <w:rFonts w:ascii="Times New Roman" w:hAnsi="Times New Roman" w:eastAsia="楷体"/>
          <w:b/>
          <w:bCs/>
          <w:sz w:val="24"/>
        </w:rPr>
      </w:pPr>
      <w:r>
        <w:rPr>
          <w:rFonts w:ascii="Times New Roman" w:hAnsi="Times New Roman" w:eastAsia="楷体"/>
          <w:b/>
          <w:bCs/>
          <w:sz w:val="24"/>
        </w:rPr>
        <w:t>1.基准天分析</w:t>
      </w:r>
    </w:p>
    <w:tbl>
      <w:tblPr>
        <w:tblStyle w:val="13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5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95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基准天日期</w:t>
            </w:r>
          </w:p>
        </w:tc>
        <w:tc>
          <w:tcPr>
            <w:tcW w:w="564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p>
      <w:pPr>
        <w:spacing w:after="156" w:afterLines="50"/>
        <w:rPr>
          <w:rFonts w:ascii="Times New Roman" w:hAnsi="Times New Roman" w:eastAsia="楷体"/>
          <w:b/>
          <w:bCs/>
          <w:sz w:val="24"/>
        </w:rPr>
      </w:pPr>
      <w:r>
        <w:rPr>
          <w:rFonts w:hint="eastAsia" w:ascii="Times New Roman" w:hAnsi="Times New Roman" w:eastAsia="楷体"/>
          <w:b/>
          <w:bCs/>
          <w:sz w:val="24"/>
        </w:rPr>
        <w:t>2.出库工作站数量</w:t>
      </w:r>
    </w:p>
    <w:tbl>
      <w:tblPr>
        <w:tblStyle w:val="13"/>
        <w:tblW w:w="8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1620"/>
        <w:gridCol w:w="1710"/>
        <w:gridCol w:w="1740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1558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出库</w:t>
            </w:r>
            <w:r>
              <w:rPr>
                <w:rFonts w:hint="eastAsia" w:ascii="Times New Roman" w:hAnsi="Times New Roman"/>
                <w:sz w:val="24"/>
              </w:rPr>
              <w:t>行箱</w:t>
            </w:r>
            <w:r>
              <w:rPr>
                <w:rFonts w:ascii="Times New Roman" w:hAnsi="Times New Roman"/>
                <w:sz w:val="24"/>
              </w:rPr>
              <w:t>数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hint="eastAsia" w:ascii="Times New Roman" w:hAnsi="Times New Roman"/>
                <w:sz w:val="24"/>
              </w:rPr>
              <w:t>向上</w:t>
            </w:r>
            <w:r>
              <w:rPr>
                <w:rFonts w:ascii="Times New Roman" w:hAnsi="Times New Roman"/>
                <w:sz w:val="24"/>
              </w:rPr>
              <w:t>取整）</w:t>
            </w:r>
          </w:p>
        </w:tc>
        <w:tc>
          <w:tcPr>
            <w:tcW w:w="162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单个AGV在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出库工作站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作业耗时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（s）</w:t>
            </w:r>
          </w:p>
        </w:tc>
        <w:tc>
          <w:tcPr>
            <w:tcW w:w="171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单货架每分钟可出库的数量（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174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单个出库工作站的工作效率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/h）</w:t>
            </w:r>
          </w:p>
        </w:tc>
        <w:tc>
          <w:tcPr>
            <w:tcW w:w="1948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出库工作站数量（个）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四舍五入</w:t>
            </w:r>
            <w:r>
              <w:rPr>
                <w:rFonts w:hint="eastAsia" w:ascii="Times New Roman" w:hAnsi="Times New Roman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spacing w:before="156" w:beforeLines="50" w:after="156" w:afterLines="50"/>
        <w:rPr>
          <w:rFonts w:ascii="Times New Roman" w:hAnsi="Times New Roman" w:eastAsia="楷体"/>
          <w:b/>
          <w:bCs/>
          <w:sz w:val="24"/>
        </w:rPr>
      </w:pPr>
      <w:r>
        <w:rPr>
          <w:rFonts w:hint="eastAsia" w:ascii="Times New Roman" w:hAnsi="Times New Roman" w:eastAsia="楷体"/>
          <w:b/>
          <w:bCs/>
          <w:sz w:val="24"/>
        </w:rPr>
        <w:t>3.入库工作站数量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590"/>
        <w:gridCol w:w="1740"/>
        <w:gridCol w:w="1725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159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入库行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数（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hint="eastAsia" w:ascii="Times New Roman" w:hAnsi="Times New Roman"/>
                <w:sz w:val="24"/>
              </w:rPr>
              <w:t>向上</w:t>
            </w:r>
            <w:r>
              <w:rPr>
                <w:rFonts w:ascii="Times New Roman" w:hAnsi="Times New Roman"/>
                <w:sz w:val="24"/>
              </w:rPr>
              <w:t>取整）</w:t>
            </w:r>
          </w:p>
        </w:tc>
        <w:tc>
          <w:tcPr>
            <w:tcW w:w="159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单个AGV在入库工作站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作业耗时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（s）</w:t>
            </w:r>
          </w:p>
        </w:tc>
        <w:tc>
          <w:tcPr>
            <w:tcW w:w="174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单货架每分钟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可入库的数量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1725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单个入库工作站的工作效率（</w:t>
            </w:r>
            <w:r>
              <w:rPr>
                <w:rFonts w:hint="eastAsia" w:ascii="Times New Roman" w:hAnsi="Times New Roman"/>
                <w:sz w:val="24"/>
              </w:rPr>
              <w:t>箱</w:t>
            </w:r>
            <w:r>
              <w:rPr>
                <w:rFonts w:ascii="Times New Roman" w:hAnsi="Times New Roman"/>
                <w:sz w:val="24"/>
              </w:rPr>
              <w:t>/h）</w:t>
            </w:r>
          </w:p>
        </w:tc>
        <w:tc>
          <w:tcPr>
            <w:tcW w:w="1969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入库工作站数量（个）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四舍五入</w:t>
            </w:r>
            <w:r>
              <w:rPr>
                <w:rFonts w:hint="eastAsia" w:ascii="Times New Roman" w:hAnsi="Times New Roman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59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pStyle w:val="3"/>
        <w:numPr>
          <w:ilvl w:val="0"/>
          <w:numId w:val="1"/>
        </w:numPr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ascii="Times New Roman" w:hAnsi="Times New Roman" w:eastAsia="仿宋" w:cs="Times New Roman"/>
          <w:bCs w:val="0"/>
          <w:sz w:val="24"/>
          <w:szCs w:val="24"/>
        </w:rPr>
        <w:t>AGV机</w:t>
      </w:r>
      <w:r>
        <w:rPr>
          <w:rFonts w:hint="eastAsia" w:ascii="仿宋" w:hAnsi="仿宋" w:eastAsia="仿宋" w:cs="仿宋"/>
          <w:bCs w:val="0"/>
          <w:sz w:val="24"/>
          <w:szCs w:val="24"/>
        </w:rPr>
        <w:t>器人及配套设备数量</w:t>
      </w:r>
    </w:p>
    <w:p/>
    <w:tbl>
      <w:tblPr>
        <w:tblStyle w:val="13"/>
        <w:tblW w:w="8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2124"/>
        <w:gridCol w:w="2184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5" w:hRule="atLeast"/>
          <w:jc w:val="center"/>
        </w:trPr>
        <w:tc>
          <w:tcPr>
            <w:tcW w:w="2193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单次作业往返时间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（s）</w:t>
            </w:r>
          </w:p>
        </w:tc>
        <w:tc>
          <w:tcPr>
            <w:tcW w:w="212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出库</w:t>
            </w:r>
            <w:r>
              <w:rPr>
                <w:rFonts w:hint="eastAsia" w:ascii="Times New Roman" w:hAnsi="Times New Roman"/>
                <w:sz w:val="24"/>
              </w:rPr>
              <w:t>AGV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机器人总数（辆）</w:t>
            </w:r>
          </w:p>
        </w:tc>
        <w:tc>
          <w:tcPr>
            <w:tcW w:w="218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入库</w:t>
            </w:r>
            <w:r>
              <w:rPr>
                <w:rFonts w:hint="eastAsia" w:ascii="Times New Roman" w:hAnsi="Times New Roman"/>
                <w:sz w:val="24"/>
              </w:rPr>
              <w:t>AGV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机器人总数（辆）</w:t>
            </w:r>
          </w:p>
        </w:tc>
        <w:tc>
          <w:tcPr>
            <w:tcW w:w="1917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充电桩数量（个）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19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8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pStyle w:val="2"/>
        <w:numPr>
          <w:ilvl w:val="0"/>
          <w:numId w:val="2"/>
        </w:numPr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智慧仓运营成本分析</w:t>
      </w:r>
    </w:p>
    <w:p>
      <w:pPr>
        <w:jc w:val="center"/>
        <w:rPr>
          <w:rFonts w:ascii="Times New Roman" w:hAnsi="Times New Roman"/>
          <w:sz w:val="24"/>
          <w:szCs w:val="32"/>
        </w:rPr>
      </w:pPr>
      <w:r>
        <w:rPr>
          <w:rFonts w:ascii="Times New Roman" w:hAnsi="Times New Roman"/>
          <w:sz w:val="24"/>
          <w:szCs w:val="32"/>
        </w:rPr>
        <w:t>表3-1 投资可行性分析表</w:t>
      </w:r>
      <w:r>
        <w:rPr>
          <w:rFonts w:hint="eastAsia" w:ascii="Times New Roman" w:hAnsi="Times New Roman"/>
        </w:rPr>
        <w:t>（计算结果全部保留2位小数）（单位：万元）</w:t>
      </w:r>
    </w:p>
    <w:tbl>
      <w:tblPr>
        <w:tblStyle w:val="13"/>
        <w:tblW w:w="8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768"/>
        <w:gridCol w:w="780"/>
        <w:gridCol w:w="636"/>
        <w:gridCol w:w="768"/>
        <w:gridCol w:w="706"/>
        <w:gridCol w:w="557"/>
        <w:gridCol w:w="523"/>
        <w:gridCol w:w="578"/>
        <w:gridCol w:w="567"/>
        <w:gridCol w:w="567"/>
        <w:gridCol w:w="567"/>
        <w:gridCol w:w="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初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始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投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资</w:t>
            </w: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设备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名称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单价</w:t>
            </w: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个数</w:t>
            </w: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投资额</w:t>
            </w:r>
          </w:p>
        </w:tc>
        <w:tc>
          <w:tcPr>
            <w:tcW w:w="4629" w:type="dxa"/>
            <w:gridSpan w:val="8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设备投资总额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sz w:val="18"/>
                <w:szCs w:val="18"/>
              </w:rPr>
              <w:t>AGV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机器人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4629" w:type="dxa"/>
            <w:gridSpan w:val="8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工作站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4629" w:type="dxa"/>
            <w:gridSpan w:val="8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货架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4629" w:type="dxa"/>
            <w:gridSpan w:val="8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8179" w:type="dxa"/>
            <w:gridSpan w:val="1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折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旧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抵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税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设备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名称</w:t>
            </w:r>
          </w:p>
        </w:tc>
        <w:tc>
          <w:tcPr>
            <w:tcW w:w="780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投资额</w:t>
            </w:r>
          </w:p>
        </w:tc>
        <w:tc>
          <w:tcPr>
            <w:tcW w:w="636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年折旧率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折旧额</w:t>
            </w:r>
          </w:p>
        </w:tc>
        <w:tc>
          <w:tcPr>
            <w:tcW w:w="3923" w:type="dxa"/>
            <w:gridSpan w:val="7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各年折旧抵税额（考虑</w:t>
            </w:r>
            <w:r>
              <w:rPr>
                <w:rFonts w:ascii="Times New Roman" w:hAnsi="Times New Roman" w:cs="Times New Roman" w:eastAsiaTheme="minorEastAsia"/>
                <w:bCs w:val="0"/>
                <w:sz w:val="18"/>
                <w:szCs w:val="18"/>
              </w:rPr>
              <w:t>25%的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企业所得税）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</w:p>
        </w:tc>
        <w:tc>
          <w:tcPr>
            <w:tcW w:w="636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23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7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bCs w:val="0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sz w:val="18"/>
                <w:szCs w:val="18"/>
              </w:rPr>
              <w:t>AGV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机器人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工作站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货架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179" w:type="dxa"/>
            <w:gridSpan w:val="1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残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值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变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现</w:t>
            </w: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设备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名称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投资额</w:t>
            </w: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净残值率</w:t>
            </w: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设备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残值</w:t>
            </w:r>
          </w:p>
        </w:tc>
        <w:tc>
          <w:tcPr>
            <w:tcW w:w="4629" w:type="dxa"/>
            <w:gridSpan w:val="8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设备残值变现总额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sz w:val="18"/>
                <w:szCs w:val="18"/>
              </w:rPr>
              <w:t>AGV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机器人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4629" w:type="dxa"/>
            <w:gridSpan w:val="8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工作站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4629" w:type="dxa"/>
            <w:gridSpan w:val="8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货架</w:t>
            </w:r>
          </w:p>
        </w:tc>
        <w:tc>
          <w:tcPr>
            <w:tcW w:w="780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4629" w:type="dxa"/>
            <w:gridSpan w:val="8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8179" w:type="dxa"/>
            <w:gridSpan w:val="1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4256" w:type="dxa"/>
            <w:gridSpan w:val="6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平均营业收入</w:t>
            </w:r>
          </w:p>
          <w:p>
            <w:pPr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（考虑</w:t>
            </w:r>
            <w:r>
              <w:rPr>
                <w:rFonts w:ascii="Times New Roman" w:hAnsi="Times New Roman" w:eastAsiaTheme="minorEastAsia"/>
                <w:b/>
                <w:sz w:val="18"/>
                <w:szCs w:val="18"/>
              </w:rPr>
              <w:t>25%的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企业所得税）</w:t>
            </w:r>
          </w:p>
        </w:tc>
        <w:tc>
          <w:tcPr>
            <w:tcW w:w="5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23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7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bCs w:val="0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4256" w:type="dxa"/>
            <w:gridSpan w:val="6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8179" w:type="dxa"/>
            <w:gridSpan w:val="1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营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业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成</w:t>
            </w:r>
          </w:p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本</w:t>
            </w:r>
          </w:p>
        </w:tc>
        <w:tc>
          <w:tcPr>
            <w:tcW w:w="1548" w:type="dxa"/>
            <w:gridSpan w:val="2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成本明细</w:t>
            </w:r>
          </w:p>
        </w:tc>
        <w:tc>
          <w:tcPr>
            <w:tcW w:w="2110" w:type="dxa"/>
            <w:gridSpan w:val="3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营业成本</w:t>
            </w:r>
          </w:p>
        </w:tc>
        <w:tc>
          <w:tcPr>
            <w:tcW w:w="3923" w:type="dxa"/>
            <w:gridSpan w:val="7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营业总成本（考虑</w:t>
            </w:r>
            <w:r>
              <w:rPr>
                <w:rFonts w:ascii="Times New Roman" w:hAnsi="Times New Roman" w:cs="Times New Roman" w:eastAsiaTheme="minorEastAsia"/>
                <w:bCs w:val="0"/>
                <w:sz w:val="18"/>
                <w:szCs w:val="18"/>
              </w:rPr>
              <w:t>25%的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企业所得税）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23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7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bCs w:val="0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维修成本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员工工资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主管工资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水电费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其他费用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sz w:val="18"/>
                <w:szCs w:val="18"/>
              </w:rPr>
              <w:t>租金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8179" w:type="dxa"/>
            <w:gridSpan w:val="13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256" w:type="dxa"/>
            <w:gridSpan w:val="6"/>
            <w:vMerge w:val="restart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现金净流量</w:t>
            </w:r>
          </w:p>
        </w:tc>
        <w:tc>
          <w:tcPr>
            <w:tcW w:w="5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23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7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bCs w:val="0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  <w:tc>
          <w:tcPr>
            <w:tcW w:w="56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Cs w:val="0"/>
                <w:sz w:val="18"/>
                <w:szCs w:val="18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256" w:type="dxa"/>
            <w:gridSpan w:val="6"/>
            <w:vMerge w:val="continue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 w:val="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256" w:type="dxa"/>
            <w:gridSpan w:val="6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Theme="minorEastAsia" w:hAnsiTheme="minorEastAsia" w:eastAsiaTheme="minorEastAsia" w:cstheme="minorEastAsia"/>
                <w:bCs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sz w:val="18"/>
                <w:szCs w:val="18"/>
              </w:rPr>
              <w:t>投资回收期分析</w:t>
            </w:r>
          </w:p>
        </w:tc>
        <w:tc>
          <w:tcPr>
            <w:tcW w:w="3923" w:type="dxa"/>
            <w:gridSpan w:val="7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b w:val="0"/>
                <w:sz w:val="18"/>
                <w:szCs w:val="18"/>
              </w:rPr>
              <w:sym w:font="Wingdings 2" w:char="00A3"/>
            </w:r>
            <w:r>
              <w:rPr>
                <w:rFonts w:hint="eastAsia" w:ascii="Times New Roman" w:hAnsi="Times New Roman" w:cs="Times New Roman" w:eastAsiaTheme="minorEastAsia"/>
                <w:b w:val="0"/>
                <w:sz w:val="18"/>
                <w:szCs w:val="18"/>
              </w:rPr>
              <w:t xml:space="preserve">符合预期 </w:t>
            </w:r>
            <w:r>
              <w:rPr>
                <w:rFonts w:hint="eastAsia" w:ascii="Times New Roman" w:hAnsi="Times New Roman" w:cs="Times New Roman" w:eastAsiaTheme="minorEastAsia"/>
                <w:b w:val="0"/>
                <w:sz w:val="18"/>
                <w:szCs w:val="18"/>
              </w:rPr>
              <w:sym w:font="Wingdings 2" w:char="00A3"/>
            </w:r>
            <w:r>
              <w:rPr>
                <w:rFonts w:hint="eastAsia" w:ascii="Times New Roman" w:hAnsi="Times New Roman" w:cs="Times New Roman" w:eastAsiaTheme="minorEastAsia"/>
                <w:b w:val="0"/>
                <w:sz w:val="18"/>
                <w:szCs w:val="18"/>
              </w:rPr>
              <w:t>不符合预期</w:t>
            </w:r>
          </w:p>
        </w:tc>
      </w:tr>
    </w:tbl>
    <w:p>
      <w:pPr>
        <w:jc w:val="right"/>
        <w:rPr>
          <w:rFonts w:ascii="宋体" w:hAnsi="宋体" w:cs="宋体"/>
          <w:bCs/>
          <w:kern w:val="44"/>
          <w:sz w:val="18"/>
          <w:szCs w:val="18"/>
        </w:rPr>
      </w:pPr>
    </w:p>
    <w:p>
      <w:pPr>
        <w:pStyle w:val="2"/>
        <w:numPr>
          <w:ilvl w:val="0"/>
          <w:numId w:val="2"/>
        </w:numPr>
        <w:spacing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智慧仓作业环节设计</w:t>
      </w:r>
    </w:p>
    <w:p>
      <w:pPr>
        <w:pStyle w:val="3"/>
        <w:spacing w:after="140" w:line="240" w:lineRule="auto"/>
      </w:pPr>
      <w:r>
        <w:rPr>
          <w:rFonts w:hint="eastAsia" w:ascii="仿宋" w:hAnsi="仿宋" w:eastAsia="仿宋" w:cs="仿宋"/>
          <w:bCs w:val="0"/>
          <w:sz w:val="24"/>
          <w:szCs w:val="24"/>
        </w:rPr>
        <w:t>（一）</w:t>
      </w:r>
      <w:r>
        <w:rPr>
          <w:rFonts w:ascii="Times New Roman" w:hAnsi="Times New Roman" w:eastAsia="仿宋" w:cs="Times New Roman"/>
          <w:bCs w:val="0"/>
          <w:sz w:val="24"/>
          <w:szCs w:val="24"/>
        </w:rPr>
        <w:t>A类</w:t>
      </w: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商品</w:t>
      </w:r>
      <w:r>
        <w:rPr>
          <w:rFonts w:ascii="Times New Roman" w:hAnsi="Times New Roman" w:eastAsia="仿宋" w:cs="Times New Roman"/>
          <w:bCs w:val="0"/>
          <w:sz w:val="24"/>
          <w:szCs w:val="24"/>
        </w:rPr>
        <w:t>储位规划方案</w:t>
      </w:r>
    </w:p>
    <w:tbl>
      <w:tblPr>
        <w:tblStyle w:val="13"/>
        <w:tblpPr w:leftFromText="180" w:rightFromText="180" w:vertAnchor="text" w:horzAnchor="page" w:tblpXSpec="center" w:tblpY="129"/>
        <w:tblOverlap w:val="never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2188"/>
        <w:gridCol w:w="1766"/>
        <w:gridCol w:w="1814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62" w:type="dxa"/>
            <w:shd w:val="clear" w:color="auto" w:fill="D7D7D7" w:themeFill="background1" w:themeFillShade="D8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88" w:type="dxa"/>
            <w:shd w:val="clear" w:color="auto" w:fill="D7D7D7" w:themeFill="background1" w:themeFillShade="D8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商品名称</w:t>
            </w:r>
          </w:p>
        </w:tc>
        <w:tc>
          <w:tcPr>
            <w:tcW w:w="1766" w:type="dxa"/>
            <w:shd w:val="clear" w:color="auto" w:fill="D7D7D7" w:themeFill="background1" w:themeFillShade="D8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区域存储方式</w:t>
            </w:r>
          </w:p>
        </w:tc>
        <w:tc>
          <w:tcPr>
            <w:tcW w:w="1814" w:type="dxa"/>
            <w:shd w:val="clear" w:color="auto" w:fill="D7D7D7" w:themeFill="background1" w:themeFillShade="D8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储位存储方式</w:t>
            </w:r>
          </w:p>
        </w:tc>
        <w:tc>
          <w:tcPr>
            <w:tcW w:w="2407" w:type="dxa"/>
            <w:shd w:val="clear" w:color="auto" w:fill="D7D7D7" w:themeFill="background1" w:themeFillShade="D8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储位分配原则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8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766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4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8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766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4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8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4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8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4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6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188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66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4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6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188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766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4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6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/>
                <w:color w:val="000000"/>
                <w:kern w:val="0"/>
                <w:szCs w:val="21"/>
              </w:rPr>
              <w:t>...</w:t>
            </w:r>
          </w:p>
        </w:tc>
        <w:tc>
          <w:tcPr>
            <w:tcW w:w="2188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766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4" w:type="dxa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keepNext/>
        <w:keepLines/>
        <w:spacing w:before="260" w:line="360" w:lineRule="auto"/>
        <w:outlineLvl w:val="1"/>
        <w:rPr>
          <w:rFonts w:ascii="Times New Roman" w:hAnsi="Times New Roman" w:eastAsia="仿宋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  <w:lang w:bidi="ar"/>
        </w:rPr>
        <w:t>（注</w:t>
      </w:r>
      <w:r>
        <w:rPr>
          <w:rFonts w:hint="eastAsia" w:ascii="Times New Roman" w:hAnsi="Times New Roman"/>
          <w:color w:val="000000"/>
          <w:kern w:val="0"/>
          <w:sz w:val="24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32"/>
          <w:lang w:bidi="ar"/>
        </w:rPr>
        <w:t>上表中的“储位分配原则”，应以对应原则的序号、尽量全面地进行填写，少写或多写均不得分。采用[</w:t>
      </w:r>
      <w:r>
        <w:rPr>
          <w:rFonts w:ascii="Times New Roman" w:hAnsi="Times New Roman"/>
          <w:color w:val="000000"/>
          <w:kern w:val="0"/>
          <w:sz w:val="24"/>
          <w:szCs w:val="32"/>
          <w:lang w:bidi="ar"/>
        </w:rPr>
        <w:t>a.相关性原则</w:t>
      </w:r>
      <w:r>
        <w:rPr>
          <w:rFonts w:hint="eastAsia" w:ascii="宋体" w:hAnsi="宋体" w:cs="宋体"/>
          <w:color w:val="000000"/>
          <w:kern w:val="0"/>
          <w:sz w:val="24"/>
          <w:szCs w:val="32"/>
          <w:lang w:bidi="ar"/>
        </w:rPr>
        <w:t>]</w:t>
      </w:r>
      <w:r>
        <w:rPr>
          <w:rFonts w:ascii="Times New Roman" w:hAnsi="Times New Roman"/>
          <w:color w:val="000000"/>
          <w:kern w:val="0"/>
          <w:sz w:val="24"/>
          <w:szCs w:val="32"/>
          <w:lang w:bidi="ar"/>
        </w:rPr>
        <w:t>和</w:t>
      </w:r>
      <w:r>
        <w:rPr>
          <w:rFonts w:hint="eastAsia" w:ascii="宋体" w:hAnsi="宋体" w:cs="宋体"/>
          <w:color w:val="000000"/>
          <w:kern w:val="0"/>
          <w:sz w:val="24"/>
          <w:szCs w:val="32"/>
          <w:lang w:bidi="ar"/>
        </w:rPr>
        <w:t>[</w:t>
      </w:r>
      <w:r>
        <w:rPr>
          <w:rFonts w:hint="eastAsia" w:ascii="Times New Roman" w:hAnsi="Times New Roman"/>
          <w:color w:val="000000"/>
          <w:kern w:val="0"/>
          <w:sz w:val="24"/>
          <w:szCs w:val="32"/>
          <w:lang w:bidi="ar"/>
        </w:rPr>
        <w:t>b</w:t>
      </w:r>
      <w:r>
        <w:rPr>
          <w:rFonts w:ascii="Times New Roman" w:hAnsi="Times New Roman"/>
          <w:color w:val="000000"/>
          <w:kern w:val="0"/>
          <w:sz w:val="24"/>
          <w:szCs w:val="32"/>
          <w:lang w:bidi="ar"/>
        </w:rPr>
        <w:t>.互</w:t>
      </w:r>
      <w:r>
        <w:rPr>
          <w:rFonts w:hint="eastAsia" w:ascii="宋体" w:hAnsi="宋体" w:cs="宋体"/>
          <w:color w:val="000000"/>
          <w:kern w:val="0"/>
          <w:sz w:val="24"/>
          <w:szCs w:val="32"/>
          <w:lang w:bidi="ar"/>
        </w:rPr>
        <w:t>补性原则]时，需标明商品序号,例：</w:t>
      </w:r>
      <w:r>
        <w:rPr>
          <w:rFonts w:ascii="Times New Roman" w:hAnsi="Times New Roman"/>
          <w:color w:val="000000"/>
          <w:kern w:val="0"/>
          <w:sz w:val="24"/>
          <w:szCs w:val="32"/>
          <w:lang w:bidi="ar"/>
        </w:rPr>
        <w:t>a:1、2和3。</w:t>
      </w:r>
      <w:r>
        <w:rPr>
          <w:rFonts w:hint="eastAsia" w:ascii="宋体" w:hAnsi="宋体" w:cs="宋体"/>
          <w:color w:val="000000"/>
          <w:kern w:val="0"/>
          <w:sz w:val="24"/>
          <w:szCs w:val="32"/>
          <w:lang w:bidi="ar"/>
        </w:rPr>
        <w:t>）</w:t>
      </w:r>
    </w:p>
    <w:p>
      <w:pPr>
        <w:pStyle w:val="3"/>
        <w:spacing w:after="140" w:line="240" w:lineRule="auto"/>
        <w:rPr>
          <w:rFonts w:ascii="Times New Roman" w:hAnsi="Times New Roman" w:eastAsia="仿宋" w:cs="Times New Roman"/>
          <w:bCs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bCs w:val="0"/>
          <w:sz w:val="24"/>
          <w:szCs w:val="24"/>
        </w:rPr>
        <w:t>（二）补货策略</w:t>
      </w:r>
    </w:p>
    <w:tbl>
      <w:tblPr>
        <w:tblStyle w:val="12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9"/>
        <w:gridCol w:w="3145"/>
        <w:gridCol w:w="3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589" w:type="dxa"/>
            <w:shd w:val="clear" w:color="auto" w:fill="D7D7D7" w:themeFill="background1" w:themeFillShade="D8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bidi="ar"/>
              </w:rPr>
              <w:t>商品分类情况</w:t>
            </w:r>
          </w:p>
        </w:tc>
        <w:tc>
          <w:tcPr>
            <w:tcW w:w="3145" w:type="dxa"/>
            <w:shd w:val="clear" w:color="auto" w:fill="D7D7D7" w:themeFill="background1" w:themeFillShade="D8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bidi="ar"/>
              </w:rPr>
              <w:t>商品数量（个）</w:t>
            </w:r>
          </w:p>
        </w:tc>
        <w:tc>
          <w:tcPr>
            <w:tcW w:w="3145" w:type="dxa"/>
            <w:shd w:val="clear" w:color="auto" w:fill="D7D7D7" w:themeFill="background1" w:themeFillShade="D8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bidi="ar"/>
              </w:rPr>
              <w:t>补货点（箱）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25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4"/>
              </w:rPr>
              <w:t>A类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4"/>
              </w:rPr>
              <w:t>商品</w:t>
            </w:r>
          </w:p>
        </w:tc>
        <w:tc>
          <w:tcPr>
            <w:tcW w:w="3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25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 w:themeColor="text1"/>
                <w:sz w:val="24"/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4"/>
              </w:rPr>
              <w:t>B类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4"/>
              </w:rPr>
              <w:t>商品</w:t>
            </w:r>
          </w:p>
        </w:tc>
        <w:tc>
          <w:tcPr>
            <w:tcW w:w="3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5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 w:themeColor="text1"/>
                <w:sz w:val="24"/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kern w:val="0"/>
                <w:sz w:val="24"/>
              </w:rPr>
              <w:t>C类</w:t>
            </w:r>
            <w:r>
              <w:rPr>
                <w:rFonts w:hint="eastAsia" w:ascii="Times New Roman" w:hAnsi="Times New Roman" w:eastAsiaTheme="minorEastAsia"/>
                <w:color w:val="000000" w:themeColor="text1"/>
                <w:kern w:val="0"/>
                <w:sz w:val="24"/>
              </w:rPr>
              <w:t>商品</w:t>
            </w:r>
          </w:p>
        </w:tc>
        <w:tc>
          <w:tcPr>
            <w:tcW w:w="3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/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pStyle w:val="2"/>
        <w:spacing w:after="0" w:line="240" w:lineRule="auto"/>
        <w:jc w:val="center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bCs w:val="0"/>
          <w:sz w:val="28"/>
          <w:szCs w:val="28"/>
        </w:rPr>
        <w:t>模块</w:t>
      </w:r>
      <w:r>
        <w:rPr>
          <w:rFonts w:hint="eastAsia" w:ascii="Times New Roman" w:hAnsi="Times New Roman" w:eastAsia="仿宋"/>
          <w:bCs w:val="0"/>
          <w:sz w:val="28"/>
          <w:szCs w:val="28"/>
        </w:rPr>
        <w:t>B</w:t>
      </w:r>
      <w:r>
        <w:rPr>
          <w:rFonts w:ascii="Times New Roman" w:hAnsi="Times New Roman" w:eastAsia="仿宋"/>
          <w:bCs w:val="0"/>
          <w:sz w:val="28"/>
          <w:szCs w:val="28"/>
        </w:rPr>
        <w:t>：</w:t>
      </w:r>
      <w:r>
        <w:rPr>
          <w:rFonts w:ascii="Times New Roman" w:hAnsi="Times New Roman" w:eastAsia="仿宋"/>
          <w:sz w:val="28"/>
          <w:szCs w:val="28"/>
        </w:rPr>
        <w:t>智慧仓作业规划与设计</w:t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（模块B 总分占比30%）</w:t>
      </w:r>
    </w:p>
    <w:p>
      <w:pPr>
        <w:jc w:val="center"/>
      </w:pPr>
    </w:p>
    <w:p>
      <w:pPr>
        <w:pStyle w:val="3"/>
        <w:spacing w:after="140" w:line="240" w:lineRule="auto"/>
        <w:rPr>
          <w:rFonts w:eastAsia="仿宋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（一）输出有物流动线的仓库布局图</w:t>
      </w:r>
    </w:p>
    <w:tbl>
      <w:tblPr>
        <w:tblStyle w:val="13"/>
        <w:tblW w:w="8480" w:type="dxa"/>
        <w:jc w:val="center"/>
        <w:tblBorders>
          <w:top w:val="single" w:color="4F81BD" w:themeColor="accent1" w:sz="12" w:space="0"/>
          <w:left w:val="single" w:color="4F81BD" w:themeColor="accent1" w:sz="12" w:space="0"/>
          <w:bottom w:val="single" w:color="4F81BD" w:themeColor="accent1" w:sz="12" w:space="0"/>
          <w:right w:val="single" w:color="4F81BD" w:themeColor="accent1" w:sz="12" w:space="0"/>
          <w:insideH w:val="single" w:color="4F81BD" w:themeColor="accent1" w:sz="12" w:space="0"/>
          <w:insideV w:val="single" w:color="4F81BD" w:themeColor="accen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>
        <w:tblPrEx>
          <w:tblBorders>
            <w:top w:val="single" w:color="4F81BD" w:themeColor="accent1" w:sz="12" w:space="0"/>
            <w:left w:val="single" w:color="4F81BD" w:themeColor="accent1" w:sz="12" w:space="0"/>
            <w:bottom w:val="single" w:color="4F81BD" w:themeColor="accent1" w:sz="12" w:space="0"/>
            <w:right w:val="single" w:color="4F81BD" w:themeColor="accent1" w:sz="12" w:space="0"/>
            <w:insideH w:val="single" w:color="4F81BD" w:themeColor="accent1" w:sz="12" w:space="0"/>
            <w:insideV w:val="single" w:color="4F81BD" w:themeColor="accen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  <w:jc w:val="center"/>
        </w:trPr>
        <w:tc>
          <w:tcPr>
            <w:tcW w:w="8480" w:type="dxa"/>
          </w:tcPr>
          <w:p>
            <w:pPr>
              <w:rPr>
                <w:rFonts w:ascii="思源黑体 CN Normal" w:hAnsi="思源黑体 CN Normal" w:eastAsia="思源黑体 CN Normal"/>
                <w:b/>
                <w:bCs/>
                <w:color w:val="3F3F3F" w:themeColor="text1" w:themeTint="BF"/>
                <w:u w:val="single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pStyle w:val="5"/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  <w:p>
            <w:pPr>
              <w:rPr>
                <w:rFonts w:ascii="思源黑体 CN Normal" w:hAnsi="思源黑体 CN Normal" w:eastAsia="思源黑体 CN Normal"/>
                <w:color w:val="3F3F3F" w:themeColor="text1" w:themeTint="BF"/>
              </w:rPr>
            </w:pPr>
          </w:p>
        </w:tc>
      </w:tr>
    </w:tbl>
    <w:p>
      <w:pPr>
        <w:pStyle w:val="3"/>
        <w:numPr>
          <w:ilvl w:val="0"/>
          <w:numId w:val="3"/>
        </w:numPr>
        <w:spacing w:after="140" w:line="240" w:lineRule="auto"/>
        <w:rPr>
          <w:rFonts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完成系统运行，输出</w:t>
      </w:r>
      <w:r>
        <w:rPr>
          <w:rFonts w:ascii="Times New Roman" w:hAnsi="Times New Roman" w:eastAsia="仿宋" w:cs="Times New Roman"/>
          <w:bCs w:val="0"/>
          <w:sz w:val="24"/>
          <w:szCs w:val="24"/>
        </w:rPr>
        <w:t>PDF</w:t>
      </w:r>
      <w:r>
        <w:rPr>
          <w:rFonts w:hint="eastAsia" w:ascii="仿宋" w:hAnsi="仿宋" w:eastAsia="仿宋" w:cs="仿宋"/>
          <w:bCs w:val="0"/>
          <w:sz w:val="24"/>
          <w:szCs w:val="24"/>
        </w:rPr>
        <w:t>版本的仿真报告。</w:t>
      </w:r>
    </w:p>
    <w:p/>
    <w:p>
      <w:pPr>
        <w:jc w:val="left"/>
        <w:rPr>
          <w:rFonts w:ascii="黑体" w:hAnsi="黑体" w:eastAsia="黑体"/>
          <w:bCs/>
          <w:kern w:val="44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ECCD52-6C5C-43DC-B9D7-80B55E1491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76F0247-E3BC-4CB6-9962-91843885558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BBE1748-85FB-4242-9B1B-C1039333F6CE}"/>
  </w:font>
  <w:font w:name="思源黑体 CN Normal">
    <w:altName w:val="微软雅黑"/>
    <w:panose1 w:val="00000000000000000000"/>
    <w:charset w:val="86"/>
    <w:family w:val="swiss"/>
    <w:pitch w:val="default"/>
    <w:sig w:usb0="00000000" w:usb1="00000000" w:usb2="00000016" w:usb3="00000000" w:csb0="60060107" w:csb1="00000000"/>
    <w:embedRegular r:id="rId4" w:fontKey="{ACECA165-3EB4-4AFF-A5A1-2A12D408E90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5887343-2F43-45F2-9D4F-1342A0664090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8812F202-B815-41BC-8338-E03E53BFE7E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2810D2"/>
    <w:multiLevelType w:val="singleLevel"/>
    <w:tmpl w:val="982810D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CF23D44"/>
    <w:multiLevelType w:val="singleLevel"/>
    <w:tmpl w:val="9CF23D4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DBBD64C"/>
    <w:multiLevelType w:val="singleLevel"/>
    <w:tmpl w:val="1DBBD64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3ZjQwZWVlODY1OGE1ZmUzZTZhNzRlNjk0NDNmODYifQ=="/>
  </w:docVars>
  <w:rsids>
    <w:rsidRoot w:val="00BD3E92"/>
    <w:rsid w:val="000234D4"/>
    <w:rsid w:val="0003716F"/>
    <w:rsid w:val="000420B5"/>
    <w:rsid w:val="00047DC3"/>
    <w:rsid w:val="000563CC"/>
    <w:rsid w:val="00056FEB"/>
    <w:rsid w:val="00060C2B"/>
    <w:rsid w:val="000B661D"/>
    <w:rsid w:val="000E0FD9"/>
    <w:rsid w:val="00104D27"/>
    <w:rsid w:val="00115412"/>
    <w:rsid w:val="00121AE9"/>
    <w:rsid w:val="001317BB"/>
    <w:rsid w:val="00173691"/>
    <w:rsid w:val="0017761F"/>
    <w:rsid w:val="00195366"/>
    <w:rsid w:val="001A0C9A"/>
    <w:rsid w:val="002343C9"/>
    <w:rsid w:val="00244C60"/>
    <w:rsid w:val="002C690B"/>
    <w:rsid w:val="002D7077"/>
    <w:rsid w:val="0035181A"/>
    <w:rsid w:val="003A4B72"/>
    <w:rsid w:val="00437247"/>
    <w:rsid w:val="004407E1"/>
    <w:rsid w:val="004815BF"/>
    <w:rsid w:val="00484224"/>
    <w:rsid w:val="00521690"/>
    <w:rsid w:val="00560C56"/>
    <w:rsid w:val="00577CF4"/>
    <w:rsid w:val="005A284A"/>
    <w:rsid w:val="005C37FB"/>
    <w:rsid w:val="00627E1C"/>
    <w:rsid w:val="0066452F"/>
    <w:rsid w:val="00673B4D"/>
    <w:rsid w:val="00685664"/>
    <w:rsid w:val="007521FD"/>
    <w:rsid w:val="008306EC"/>
    <w:rsid w:val="00855281"/>
    <w:rsid w:val="008C3E8F"/>
    <w:rsid w:val="008F2C4E"/>
    <w:rsid w:val="00924BE8"/>
    <w:rsid w:val="0094622D"/>
    <w:rsid w:val="00962DF9"/>
    <w:rsid w:val="009C701E"/>
    <w:rsid w:val="00A106C1"/>
    <w:rsid w:val="00A86528"/>
    <w:rsid w:val="00AA06B1"/>
    <w:rsid w:val="00AB42C7"/>
    <w:rsid w:val="00AC0DB0"/>
    <w:rsid w:val="00AD1A1E"/>
    <w:rsid w:val="00AE2C8F"/>
    <w:rsid w:val="00B22606"/>
    <w:rsid w:val="00B611B4"/>
    <w:rsid w:val="00B6343B"/>
    <w:rsid w:val="00BA7444"/>
    <w:rsid w:val="00BA7C99"/>
    <w:rsid w:val="00BB2D01"/>
    <w:rsid w:val="00BD3E92"/>
    <w:rsid w:val="00BD49E2"/>
    <w:rsid w:val="00BD57E8"/>
    <w:rsid w:val="00BF10A5"/>
    <w:rsid w:val="00C13208"/>
    <w:rsid w:val="00C158F4"/>
    <w:rsid w:val="00C315D6"/>
    <w:rsid w:val="00C41D98"/>
    <w:rsid w:val="00C46031"/>
    <w:rsid w:val="00C46687"/>
    <w:rsid w:val="00C56336"/>
    <w:rsid w:val="00CA5961"/>
    <w:rsid w:val="00CB2595"/>
    <w:rsid w:val="00CB50C5"/>
    <w:rsid w:val="00D67FDA"/>
    <w:rsid w:val="00D75644"/>
    <w:rsid w:val="00DA7C24"/>
    <w:rsid w:val="00DB28D4"/>
    <w:rsid w:val="00DC5D93"/>
    <w:rsid w:val="00DE5F68"/>
    <w:rsid w:val="00DF1C67"/>
    <w:rsid w:val="00E016E1"/>
    <w:rsid w:val="00E31114"/>
    <w:rsid w:val="00EC3FD8"/>
    <w:rsid w:val="00ED111D"/>
    <w:rsid w:val="00EE1F14"/>
    <w:rsid w:val="00F239EA"/>
    <w:rsid w:val="00F44EB0"/>
    <w:rsid w:val="00F93F66"/>
    <w:rsid w:val="00F94825"/>
    <w:rsid w:val="02106146"/>
    <w:rsid w:val="03455F4E"/>
    <w:rsid w:val="035E1B7D"/>
    <w:rsid w:val="037C126D"/>
    <w:rsid w:val="03847539"/>
    <w:rsid w:val="05BA625A"/>
    <w:rsid w:val="06E10650"/>
    <w:rsid w:val="076B3AA9"/>
    <w:rsid w:val="078A0CCB"/>
    <w:rsid w:val="079B438E"/>
    <w:rsid w:val="07DE1E9B"/>
    <w:rsid w:val="07F27D26"/>
    <w:rsid w:val="08B82D1E"/>
    <w:rsid w:val="08D3128B"/>
    <w:rsid w:val="08F16230"/>
    <w:rsid w:val="09655A11"/>
    <w:rsid w:val="098E5CA9"/>
    <w:rsid w:val="098F5F53"/>
    <w:rsid w:val="0A173A74"/>
    <w:rsid w:val="0AA76544"/>
    <w:rsid w:val="0BC20266"/>
    <w:rsid w:val="0C4A0131"/>
    <w:rsid w:val="0CF12D1E"/>
    <w:rsid w:val="0CF85DDF"/>
    <w:rsid w:val="0F5D0B31"/>
    <w:rsid w:val="0FAD65C6"/>
    <w:rsid w:val="0FFD54BA"/>
    <w:rsid w:val="10AC53E7"/>
    <w:rsid w:val="12A11D14"/>
    <w:rsid w:val="12EF3A0C"/>
    <w:rsid w:val="12F65DA8"/>
    <w:rsid w:val="13D34EB0"/>
    <w:rsid w:val="14065285"/>
    <w:rsid w:val="140B63F8"/>
    <w:rsid w:val="149A3C1F"/>
    <w:rsid w:val="14E153AA"/>
    <w:rsid w:val="151B6B0E"/>
    <w:rsid w:val="15663B11"/>
    <w:rsid w:val="173E6AE4"/>
    <w:rsid w:val="181B6E25"/>
    <w:rsid w:val="18A137CE"/>
    <w:rsid w:val="19C37774"/>
    <w:rsid w:val="1B787D36"/>
    <w:rsid w:val="1C073948"/>
    <w:rsid w:val="1C3109C5"/>
    <w:rsid w:val="1CB17D58"/>
    <w:rsid w:val="1CBA09BB"/>
    <w:rsid w:val="1CFE68C1"/>
    <w:rsid w:val="1D24052A"/>
    <w:rsid w:val="1E3D5516"/>
    <w:rsid w:val="1E8C6A5F"/>
    <w:rsid w:val="1EB26BE1"/>
    <w:rsid w:val="1EB51737"/>
    <w:rsid w:val="1FA85442"/>
    <w:rsid w:val="1FE346CD"/>
    <w:rsid w:val="20564E9E"/>
    <w:rsid w:val="213276BA"/>
    <w:rsid w:val="220420F2"/>
    <w:rsid w:val="223236E9"/>
    <w:rsid w:val="2259278F"/>
    <w:rsid w:val="22C32593"/>
    <w:rsid w:val="232D2B82"/>
    <w:rsid w:val="23B1534D"/>
    <w:rsid w:val="24556FCC"/>
    <w:rsid w:val="24B6415E"/>
    <w:rsid w:val="24B91EA0"/>
    <w:rsid w:val="255D3476"/>
    <w:rsid w:val="25B52667"/>
    <w:rsid w:val="26D94133"/>
    <w:rsid w:val="27111CE3"/>
    <w:rsid w:val="272D447F"/>
    <w:rsid w:val="276E6F72"/>
    <w:rsid w:val="27C60B5C"/>
    <w:rsid w:val="27FA6A57"/>
    <w:rsid w:val="2810627B"/>
    <w:rsid w:val="28180D37"/>
    <w:rsid w:val="282C42AE"/>
    <w:rsid w:val="293715E5"/>
    <w:rsid w:val="29CC7F7F"/>
    <w:rsid w:val="2AB253C7"/>
    <w:rsid w:val="2ADC2444"/>
    <w:rsid w:val="2BB62C95"/>
    <w:rsid w:val="2BEC4765"/>
    <w:rsid w:val="2BF865A7"/>
    <w:rsid w:val="2C532BDA"/>
    <w:rsid w:val="2D1A7254"/>
    <w:rsid w:val="2D35408E"/>
    <w:rsid w:val="2D460049"/>
    <w:rsid w:val="2DB651CE"/>
    <w:rsid w:val="2E544AE3"/>
    <w:rsid w:val="311F12DD"/>
    <w:rsid w:val="3170739C"/>
    <w:rsid w:val="31927ECA"/>
    <w:rsid w:val="333F7A14"/>
    <w:rsid w:val="33836C49"/>
    <w:rsid w:val="34F34F5A"/>
    <w:rsid w:val="357B4A50"/>
    <w:rsid w:val="357F234A"/>
    <w:rsid w:val="358D0F0B"/>
    <w:rsid w:val="35A61FCC"/>
    <w:rsid w:val="35CF1523"/>
    <w:rsid w:val="35E6061B"/>
    <w:rsid w:val="365732C7"/>
    <w:rsid w:val="36BD5820"/>
    <w:rsid w:val="36DB5CA6"/>
    <w:rsid w:val="37FC5ED4"/>
    <w:rsid w:val="386D158E"/>
    <w:rsid w:val="38E30E42"/>
    <w:rsid w:val="3971644D"/>
    <w:rsid w:val="3A762AE3"/>
    <w:rsid w:val="3A83468A"/>
    <w:rsid w:val="3A8F6D4E"/>
    <w:rsid w:val="3AF61300"/>
    <w:rsid w:val="3B321943"/>
    <w:rsid w:val="3B6B431B"/>
    <w:rsid w:val="3C3A521C"/>
    <w:rsid w:val="3C473A63"/>
    <w:rsid w:val="3D97399F"/>
    <w:rsid w:val="3DAA0180"/>
    <w:rsid w:val="3DC6320C"/>
    <w:rsid w:val="3DDF7E2A"/>
    <w:rsid w:val="3DF12BEE"/>
    <w:rsid w:val="3E93192D"/>
    <w:rsid w:val="3EA55345"/>
    <w:rsid w:val="3F8E7D59"/>
    <w:rsid w:val="3FBA4BD9"/>
    <w:rsid w:val="3FFA2E68"/>
    <w:rsid w:val="415264A2"/>
    <w:rsid w:val="41EE4ADF"/>
    <w:rsid w:val="41F61BE6"/>
    <w:rsid w:val="421D53C4"/>
    <w:rsid w:val="427534F6"/>
    <w:rsid w:val="42B75819"/>
    <w:rsid w:val="436314FD"/>
    <w:rsid w:val="443D1D4E"/>
    <w:rsid w:val="444924A1"/>
    <w:rsid w:val="451A31D0"/>
    <w:rsid w:val="451E1B7F"/>
    <w:rsid w:val="45462E84"/>
    <w:rsid w:val="468A6DA0"/>
    <w:rsid w:val="48523552"/>
    <w:rsid w:val="48526709"/>
    <w:rsid w:val="48560A1F"/>
    <w:rsid w:val="48CC36A0"/>
    <w:rsid w:val="48DF33D4"/>
    <w:rsid w:val="48DF40F2"/>
    <w:rsid w:val="4A295D2E"/>
    <w:rsid w:val="4A3F2FB0"/>
    <w:rsid w:val="4B257098"/>
    <w:rsid w:val="4B7047B7"/>
    <w:rsid w:val="4BBC5C4E"/>
    <w:rsid w:val="4D467EC5"/>
    <w:rsid w:val="4D852970"/>
    <w:rsid w:val="4E886403"/>
    <w:rsid w:val="4E9D1D67"/>
    <w:rsid w:val="4EA53EF7"/>
    <w:rsid w:val="4EEA4880"/>
    <w:rsid w:val="4F675A42"/>
    <w:rsid w:val="4F9E0B2B"/>
    <w:rsid w:val="500930F0"/>
    <w:rsid w:val="5044495D"/>
    <w:rsid w:val="519B6306"/>
    <w:rsid w:val="51B7313F"/>
    <w:rsid w:val="51D06720"/>
    <w:rsid w:val="51E732F9"/>
    <w:rsid w:val="521340EE"/>
    <w:rsid w:val="52B458D1"/>
    <w:rsid w:val="52B633F7"/>
    <w:rsid w:val="53204963"/>
    <w:rsid w:val="54482775"/>
    <w:rsid w:val="54882B71"/>
    <w:rsid w:val="54A94C21"/>
    <w:rsid w:val="55100D33"/>
    <w:rsid w:val="554133AD"/>
    <w:rsid w:val="55447562"/>
    <w:rsid w:val="555D3FFE"/>
    <w:rsid w:val="5588094F"/>
    <w:rsid w:val="56CB57C2"/>
    <w:rsid w:val="56D67756"/>
    <w:rsid w:val="573B750D"/>
    <w:rsid w:val="576176AA"/>
    <w:rsid w:val="5765441B"/>
    <w:rsid w:val="580B7251"/>
    <w:rsid w:val="586E2CEB"/>
    <w:rsid w:val="58D4115E"/>
    <w:rsid w:val="59F6057D"/>
    <w:rsid w:val="5A275F1F"/>
    <w:rsid w:val="5A722EBF"/>
    <w:rsid w:val="5A851901"/>
    <w:rsid w:val="5B04316E"/>
    <w:rsid w:val="5B475EBA"/>
    <w:rsid w:val="5B5B6779"/>
    <w:rsid w:val="5CA901CD"/>
    <w:rsid w:val="5D2D2508"/>
    <w:rsid w:val="5D537A94"/>
    <w:rsid w:val="5DBB3FB7"/>
    <w:rsid w:val="5E1611EE"/>
    <w:rsid w:val="5E68756F"/>
    <w:rsid w:val="5F2166C5"/>
    <w:rsid w:val="5FB03870"/>
    <w:rsid w:val="5FE13A7D"/>
    <w:rsid w:val="60A725D1"/>
    <w:rsid w:val="61137C66"/>
    <w:rsid w:val="616109D2"/>
    <w:rsid w:val="616C5556"/>
    <w:rsid w:val="61E11B13"/>
    <w:rsid w:val="62647B7C"/>
    <w:rsid w:val="631D301E"/>
    <w:rsid w:val="635D1F7D"/>
    <w:rsid w:val="64224667"/>
    <w:rsid w:val="646E5A58"/>
    <w:rsid w:val="64830268"/>
    <w:rsid w:val="64BB2918"/>
    <w:rsid w:val="64D911C7"/>
    <w:rsid w:val="64DA77D2"/>
    <w:rsid w:val="64F46001"/>
    <w:rsid w:val="654A3077"/>
    <w:rsid w:val="658E10A1"/>
    <w:rsid w:val="65A94A3A"/>
    <w:rsid w:val="65E77EBE"/>
    <w:rsid w:val="6629065A"/>
    <w:rsid w:val="66C13CC1"/>
    <w:rsid w:val="68A536E4"/>
    <w:rsid w:val="691C0120"/>
    <w:rsid w:val="692769A5"/>
    <w:rsid w:val="6A944D01"/>
    <w:rsid w:val="6B4750DC"/>
    <w:rsid w:val="6BA73DCD"/>
    <w:rsid w:val="6CCF5389"/>
    <w:rsid w:val="6CFB36BC"/>
    <w:rsid w:val="6CFC5A53"/>
    <w:rsid w:val="6D3E6C80"/>
    <w:rsid w:val="6D6A74EC"/>
    <w:rsid w:val="6D875C64"/>
    <w:rsid w:val="6E0B27E6"/>
    <w:rsid w:val="6E11552E"/>
    <w:rsid w:val="6E241705"/>
    <w:rsid w:val="6F39382C"/>
    <w:rsid w:val="6FCF56A0"/>
    <w:rsid w:val="6FF8049A"/>
    <w:rsid w:val="713E488C"/>
    <w:rsid w:val="71E47DD3"/>
    <w:rsid w:val="72C75138"/>
    <w:rsid w:val="72F0605A"/>
    <w:rsid w:val="72FE60E2"/>
    <w:rsid w:val="731955B0"/>
    <w:rsid w:val="733A4BAA"/>
    <w:rsid w:val="73594034"/>
    <w:rsid w:val="73AF6BEA"/>
    <w:rsid w:val="744A79EB"/>
    <w:rsid w:val="74A20A5B"/>
    <w:rsid w:val="74CA4952"/>
    <w:rsid w:val="75EA7001"/>
    <w:rsid w:val="76613D18"/>
    <w:rsid w:val="77C94411"/>
    <w:rsid w:val="781C169F"/>
    <w:rsid w:val="788F1E71"/>
    <w:rsid w:val="796651E9"/>
    <w:rsid w:val="796D1636"/>
    <w:rsid w:val="7A7B3A28"/>
    <w:rsid w:val="7AC07013"/>
    <w:rsid w:val="7B412365"/>
    <w:rsid w:val="7B44614E"/>
    <w:rsid w:val="7BBF0CBF"/>
    <w:rsid w:val="7BE4558D"/>
    <w:rsid w:val="7BFA1CF7"/>
    <w:rsid w:val="7C365A76"/>
    <w:rsid w:val="7D0F17D2"/>
    <w:rsid w:val="7D3D00ED"/>
    <w:rsid w:val="7D7B0C16"/>
    <w:rsid w:val="7F1135E0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autoRedefine/>
    <w:qFormat/>
    <w:uiPriority w:val="1"/>
    <w:rPr>
      <w:sz w:val="24"/>
    </w:rPr>
  </w:style>
  <w:style w:type="paragraph" w:styleId="6">
    <w:name w:val="toc 3"/>
    <w:basedOn w:val="1"/>
    <w:next w:val="1"/>
    <w:autoRedefine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7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0">
    <w:name w:val="toc 2"/>
    <w:basedOn w:val="1"/>
    <w:next w:val="1"/>
    <w:autoRedefine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1">
    <w:name w:val="Title"/>
    <w:basedOn w:val="1"/>
    <w:next w:val="1"/>
    <w:link w:val="22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3">
    <w:name w:val="Table Grid"/>
    <w:basedOn w:val="12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标题 1 字符"/>
    <w:basedOn w:val="14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7">
    <w:name w:val="标题 3 字符"/>
    <w:basedOn w:val="14"/>
    <w:link w:val="4"/>
    <w:autoRedefine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18">
    <w:name w:val="页眉 字符"/>
    <w:basedOn w:val="14"/>
    <w:link w:val="8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字符"/>
    <w:basedOn w:val="14"/>
    <w:link w:val="7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标题 2 字符"/>
    <w:basedOn w:val="14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1">
    <w:name w:val="TOC 标题1"/>
    <w:basedOn w:val="2"/>
    <w:next w:val="1"/>
    <w:autoRedefine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character" w:customStyle="1" w:styleId="22">
    <w:name w:val="标题 字符"/>
    <w:basedOn w:val="14"/>
    <w:link w:val="11"/>
    <w:autoRedefine/>
    <w:qFormat/>
    <w:uiPriority w:val="1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3">
    <w:name w:val="font21"/>
    <w:basedOn w:val="14"/>
    <w:autoRedefine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  <w:style w:type="character" w:customStyle="1" w:styleId="24">
    <w:name w:val="font0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5">
    <w:name w:val="font31"/>
    <w:basedOn w:val="14"/>
    <w:autoRedefine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1F970A-E03C-45D1-A875-C44F4560A6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304</Words>
  <Characters>1733</Characters>
  <Lines>14</Lines>
  <Paragraphs>4</Paragraphs>
  <TotalTime>38</TotalTime>
  <ScaleCrop>false</ScaleCrop>
  <LinksUpToDate>false</LinksUpToDate>
  <CharactersWithSpaces>2033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2018-05-28T00:56:00Z</dcterms:created>
  <dc:creator>DELL-pc</dc:creator>
  <cp:lastModifiedBy>张群艳</cp:lastModifiedBy>
  <dcterms:modified xsi:type="dcterms:W3CDTF">2024-03-22T02:37:44Z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A1501F420CE045978421C19B860BD974_13</vt:lpwstr>
  </property>
</Properties>
</file>