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sz w:val="44"/>
          <w:szCs w:val="44"/>
        </w:rPr>
        <w:t>品牌特色专业群项目拟建设单位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名单</w:t>
      </w:r>
    </w:p>
    <w:bookmarkEnd w:id="0"/>
    <w:tbl>
      <w:tblPr>
        <w:tblStyle w:val="3"/>
        <w:tblW w:w="8818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4649"/>
        <w:gridCol w:w="298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tblHeader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汽车智能技术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南京交通技师学院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新能源汽车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南京建康高级技工学校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中医药健康服务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中船澄西高级技工学校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智能制造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无锡交通技师学院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高端装备制造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江苏省常州技师学院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数字商务应用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江苏省常州技师学院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智慧交通应用技术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江苏省苏州技师学院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现代商贸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苏州市吴中技师学院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智能制造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苏州市电子信息技师学院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智能装备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江苏省经贸技师学院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粮食工程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江苏省盐城技师学院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智能制造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江苏省盐城技师学院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现代家政管理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江苏省交通技师学院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4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宿迁技师学院</w:t>
            </w:r>
          </w:p>
        </w:tc>
        <w:tc>
          <w:tcPr>
            <w:tcW w:w="2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E6281B"/>
    <w:rsid w:val="5EE62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2026-02-14T06:43:00Z</dcterms:created>
  <dc:creator>13072</dc:creator>
  <cp:lastModifiedBy>13072</cp:lastModifiedBy>
  <dcterms:modified xsi:type="dcterms:W3CDTF">2026-02-14T06:43:40Z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C27C60538F6B4F599F1FE4DED1A037C7</vt:lpwstr>
  </property>
</Properties>
</file>